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8EE2C">
      <w:pPr>
        <w:pStyle w:val="3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年太湖县农业农村局农产品质量安全</w:t>
      </w:r>
    </w:p>
    <w:p w14:paraId="04C170F2">
      <w:pPr>
        <w:pStyle w:val="3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定量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抽样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检测计划安排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（第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2包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）</w:t>
      </w:r>
    </w:p>
    <w:p w14:paraId="76B438BD">
      <w:pPr>
        <w:adjustRightInd w:val="0"/>
        <w:snapToGrid w:val="0"/>
        <w:spacing w:line="600" w:lineRule="exact"/>
        <w:ind w:firstLine="640" w:firstLineChars="200"/>
        <w:rPr>
          <w:rFonts w:hint="eastAsia" w:eastAsia="黑体"/>
          <w:kern w:val="0"/>
          <w:sz w:val="32"/>
          <w:szCs w:val="32"/>
          <w:lang w:eastAsia="zh-CN"/>
        </w:rPr>
      </w:pPr>
    </w:p>
    <w:p w14:paraId="16B620AB">
      <w:pPr>
        <w:adjustRightInd w:val="0"/>
        <w:snapToGrid w:val="0"/>
        <w:spacing w:line="60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一、</w:t>
      </w:r>
      <w:r>
        <w:rPr>
          <w:rFonts w:eastAsia="黑体"/>
          <w:kern w:val="0"/>
          <w:sz w:val="32"/>
          <w:szCs w:val="32"/>
        </w:rPr>
        <w:t>监测项目和检测依据</w:t>
      </w:r>
    </w:p>
    <w:p w14:paraId="054343CC">
      <w:pPr>
        <w:adjustRightInd w:val="0"/>
        <w:snapToGrid w:val="0"/>
        <w:spacing w:line="600" w:lineRule="exact"/>
        <w:ind w:firstLine="640" w:firstLineChars="200"/>
        <w:rPr>
          <w:rFonts w:eastAsia="楷体_GB2312"/>
          <w:bCs/>
          <w:kern w:val="0"/>
          <w:sz w:val="32"/>
          <w:szCs w:val="32"/>
        </w:rPr>
      </w:pPr>
      <w:r>
        <w:rPr>
          <w:rFonts w:eastAsia="楷体_GB2312"/>
          <w:bCs/>
          <w:kern w:val="0"/>
          <w:sz w:val="32"/>
          <w:szCs w:val="32"/>
        </w:rPr>
        <w:t>（一）种植业产品。</w:t>
      </w:r>
    </w:p>
    <w:p w14:paraId="707CE329"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抽样方法：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按照NY/T 789－2004《农药残留分析样本的采样方法》规定执行。</w:t>
      </w:r>
    </w:p>
    <w:p w14:paraId="3B57B8AD"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监测项目和检测方法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6225"/>
        <w:gridCol w:w="1812"/>
      </w:tblGrid>
      <w:tr w14:paraId="44836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034" w:type="dxa"/>
            <w:noWrap w:val="0"/>
            <w:vAlign w:val="center"/>
          </w:tcPr>
          <w:p w14:paraId="2C54E7D4">
            <w:pPr>
              <w:adjustRightInd w:val="0"/>
              <w:snapToGrid w:val="0"/>
              <w:spacing w:line="300" w:lineRule="exact"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样品种类</w:t>
            </w:r>
          </w:p>
        </w:tc>
        <w:tc>
          <w:tcPr>
            <w:tcW w:w="6225" w:type="dxa"/>
            <w:noWrap w:val="0"/>
            <w:vAlign w:val="center"/>
          </w:tcPr>
          <w:p w14:paraId="222DA258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监测项目</w:t>
            </w:r>
          </w:p>
        </w:tc>
        <w:tc>
          <w:tcPr>
            <w:tcW w:w="1812" w:type="dxa"/>
            <w:noWrap w:val="0"/>
            <w:vAlign w:val="center"/>
          </w:tcPr>
          <w:p w14:paraId="6E4F8A4D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判定依据</w:t>
            </w:r>
          </w:p>
        </w:tc>
      </w:tr>
      <w:tr w14:paraId="0094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34" w:type="dxa"/>
            <w:noWrap w:val="0"/>
            <w:vAlign w:val="center"/>
          </w:tcPr>
          <w:p w14:paraId="40E20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spacing w:val="3"/>
                <w:sz w:val="23"/>
                <w:szCs w:val="23"/>
              </w:rPr>
              <w:t>蔬菜水果</w:t>
            </w:r>
          </w:p>
        </w:tc>
        <w:tc>
          <w:tcPr>
            <w:tcW w:w="6225" w:type="dxa"/>
            <w:noWrap w:val="0"/>
            <w:vAlign w:val="center"/>
          </w:tcPr>
          <w:p w14:paraId="10B29013">
            <w:pPr>
              <w:pStyle w:val="6"/>
              <w:spacing w:before="18" w:line="241" w:lineRule="auto"/>
              <w:ind w:right="107"/>
              <w:rPr>
                <w:rFonts w:ascii="仿宋" w:hAnsi="仿宋" w:eastAsia="仿宋" w:cs="仿宋"/>
                <w:i w:val="0"/>
                <w:iCs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spacing w:val="5"/>
                <w:sz w:val="23"/>
                <w:szCs w:val="23"/>
              </w:rPr>
              <w:t>禁用农药</w:t>
            </w:r>
            <w:r>
              <w:rPr>
                <w:rFonts w:ascii="仿宋" w:hAnsi="仿宋" w:eastAsia="仿宋" w:cs="仿宋"/>
                <w:i w:val="0"/>
                <w:iCs w:val="0"/>
                <w:spacing w:val="56"/>
                <w:sz w:val="23"/>
                <w:szCs w:val="23"/>
              </w:rPr>
              <w:t xml:space="preserve"> </w:t>
            </w:r>
            <w:bookmarkStart w:id="0" w:name="_GoBack"/>
            <w:bookmarkEnd w:id="0"/>
            <w:r>
              <w:rPr>
                <w:rFonts w:ascii="仿宋" w:hAnsi="仿宋" w:eastAsia="仿宋" w:cs="仿宋"/>
                <w:i w:val="0"/>
                <w:iCs w:val="0"/>
                <w:spacing w:val="5"/>
                <w:sz w:val="23"/>
                <w:szCs w:val="23"/>
              </w:rPr>
              <w:t>三氯杀螨醇、</w:t>
            </w:r>
            <w:r>
              <w:rPr>
                <w:rFonts w:ascii="仿宋" w:hAnsi="仿宋" w:eastAsia="仿宋" w:cs="仿宋"/>
                <w:i w:val="0"/>
                <w:iCs w:val="0"/>
                <w:spacing w:val="9"/>
                <w:sz w:val="23"/>
                <w:szCs w:val="23"/>
              </w:rPr>
              <w:t>甲基异柳磷、克百威</w:t>
            </w:r>
          </w:p>
          <w:p w14:paraId="6E099BDD">
            <w:pPr>
              <w:pStyle w:val="6"/>
              <w:spacing w:before="1"/>
              <w:ind w:right="65"/>
              <w:rPr>
                <w:rFonts w:ascii="仿宋" w:hAnsi="仿宋" w:eastAsia="仿宋" w:cs="仿宋"/>
                <w:i w:val="0"/>
                <w:iCs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spacing w:val="7"/>
                <w:sz w:val="23"/>
                <w:szCs w:val="23"/>
              </w:rPr>
              <w:t>限用农药</w:t>
            </w:r>
            <w:r>
              <w:rPr>
                <w:rFonts w:ascii="仿宋" w:hAnsi="仿宋" w:eastAsia="仿宋" w:cs="仿宋"/>
                <w:i w:val="0"/>
                <w:iCs w:val="0"/>
                <w:spacing w:val="7"/>
                <w:sz w:val="23"/>
                <w:szCs w:val="23"/>
              </w:rPr>
              <w:t xml:space="preserve"> 氟虫腈（包括氟甲腈、氟虫腈硫醚和氟虫腈砜）、</w:t>
            </w:r>
            <w:r>
              <w:rPr>
                <w:rFonts w:ascii="仿宋" w:hAnsi="仿宋" w:eastAsia="仿宋" w:cs="仿宋"/>
                <w:i w:val="0"/>
                <w:iCs w:val="0"/>
                <w:spacing w:val="5"/>
                <w:sz w:val="23"/>
                <w:szCs w:val="23"/>
              </w:rPr>
              <w:t>氯唑磷</w:t>
            </w:r>
          </w:p>
          <w:p w14:paraId="5224A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spacing w:val="2"/>
                <w:sz w:val="23"/>
                <w:szCs w:val="23"/>
              </w:rPr>
              <w:t>常规农药</w:t>
            </w:r>
            <w:r>
              <w:rPr>
                <w:rFonts w:ascii="仿宋" w:hAnsi="仿宋" w:eastAsia="仿宋" w:cs="仿宋"/>
                <w:i w:val="0"/>
                <w:iCs w:val="0"/>
                <w:spacing w:val="2"/>
                <w:sz w:val="23"/>
                <w:szCs w:val="23"/>
              </w:rPr>
              <w:t xml:space="preserve"> 敌敌畏、倍硫磷、吡唑</w:t>
            </w:r>
            <w:r>
              <w:rPr>
                <w:rFonts w:ascii="仿宋" w:hAnsi="仿宋" w:eastAsia="仿宋" w:cs="仿宋"/>
                <w:i w:val="0"/>
                <w:iCs w:val="0"/>
                <w:spacing w:val="1"/>
                <w:sz w:val="23"/>
                <w:szCs w:val="23"/>
              </w:rPr>
              <w:t>醚菌酯、</w:t>
            </w:r>
            <w:r>
              <w:rPr>
                <w:rFonts w:ascii="仿宋" w:hAnsi="仿宋" w:eastAsia="仿宋" w:cs="仿宋"/>
                <w:i w:val="0"/>
                <w:iCs w:val="0"/>
                <w:spacing w:val="9"/>
                <w:sz w:val="23"/>
                <w:szCs w:val="23"/>
              </w:rPr>
              <w:t>氯氰菊酯、氰戊菊酯、甲氰菊酯、氯氟氰菊酯、氟氯氰菊酯、联苯菊酯、三唑酮、百菌清、腐霉利、多菌灵、乙烯菌核利、吡虫啉、啶虫脒、嘧霉胺、甲氨基阿维菌素苯甲酸盐、虫螨腈、噻</w:t>
            </w:r>
            <w:r>
              <w:rPr>
                <w:rFonts w:ascii="仿宋" w:hAnsi="仿宋" w:eastAsia="仿宋" w:cs="仿宋"/>
                <w:i w:val="0"/>
                <w:iCs w:val="0"/>
                <w:spacing w:val="6"/>
                <w:sz w:val="23"/>
                <w:szCs w:val="23"/>
              </w:rPr>
              <w:t>虫嗪、灭蝇胺、</w:t>
            </w:r>
            <w:r>
              <w:rPr>
                <w:rFonts w:ascii="仿宋" w:hAnsi="仿宋" w:eastAsia="仿宋" w:cs="仿宋"/>
                <w:i w:val="0"/>
                <w:iCs w:val="0"/>
                <w:spacing w:val="5"/>
                <w:sz w:val="23"/>
                <w:szCs w:val="23"/>
              </w:rPr>
              <w:t>阿维菌素</w:t>
            </w:r>
          </w:p>
        </w:tc>
        <w:tc>
          <w:tcPr>
            <w:tcW w:w="1812" w:type="dxa"/>
            <w:vMerge w:val="restart"/>
            <w:noWrap w:val="0"/>
            <w:vAlign w:val="center"/>
          </w:tcPr>
          <w:p w14:paraId="44D8883D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>药物残留按照 GB 2763-2026</w:t>
            </w:r>
          </w:p>
          <w:p w14:paraId="24A793DA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zh-CN" w:bidi="ar-SA"/>
              </w:rPr>
              <w:t>或GB 31608—2023</w:t>
            </w:r>
          </w:p>
          <w:p w14:paraId="60D58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>进行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zh-CN" w:bidi="ar-SA"/>
              </w:rPr>
              <w:t>判定。</w:t>
            </w:r>
          </w:p>
        </w:tc>
      </w:tr>
      <w:tr w14:paraId="22A4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34" w:type="dxa"/>
            <w:noWrap w:val="0"/>
            <w:vAlign w:val="center"/>
          </w:tcPr>
          <w:p w14:paraId="6AABC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400" w:lineRule="exact"/>
              <w:textAlignment w:val="auto"/>
              <w:rPr>
                <w:rFonts w:ascii="仿宋" w:hAnsi="仿宋" w:eastAsia="仿宋" w:cs="仿宋"/>
                <w:b/>
                <w:bCs/>
                <w:i w:val="0"/>
                <w:iCs w:val="0"/>
                <w:spacing w:val="3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3"/>
                <w:szCs w:val="23"/>
              </w:rPr>
              <w:t>茶叶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</w:p>
        </w:tc>
        <w:tc>
          <w:tcPr>
            <w:tcW w:w="6225" w:type="dxa"/>
            <w:noWrap w:val="0"/>
            <w:vAlign w:val="center"/>
          </w:tcPr>
          <w:p w14:paraId="4A0E012E">
            <w:pPr>
              <w:spacing w:before="15" w:line="241" w:lineRule="auto"/>
              <w:ind w:right="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3"/>
                <w:szCs w:val="23"/>
              </w:rPr>
              <w:t>禁用农药</w:t>
            </w:r>
            <w:r>
              <w:rPr>
                <w:rFonts w:ascii="仿宋" w:hAnsi="仿宋" w:eastAsia="仿宋" w:cs="仿宋"/>
                <w:spacing w:val="6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甲胺磷、六六六、滴滴涕、三氯杀螨醇、灭多威、克百威、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氧乐果</w:t>
            </w:r>
          </w:p>
          <w:p w14:paraId="7E4F391B">
            <w:pPr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3"/>
                <w:szCs w:val="23"/>
              </w:rPr>
              <w:t>限用农药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氰戊菊酯、乙酰甲胺磷、</w:t>
            </w:r>
          </w:p>
          <w:p w14:paraId="76780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400" w:lineRule="exact"/>
              <w:textAlignment w:val="auto"/>
              <w:rPr>
                <w:rFonts w:ascii="仿宋" w:hAnsi="仿宋" w:eastAsia="仿宋" w:cs="仿宋"/>
                <w:b/>
                <w:bCs/>
                <w:i w:val="0"/>
                <w:iCs w:val="0"/>
                <w:spacing w:val="2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3"/>
                <w:szCs w:val="23"/>
              </w:rPr>
              <w:t>常规农药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氯氰菊酯、溴氰菊酯、联苯菊酯、吡虫啉、多菌灵、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哒螨灵、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啶虫脒、苯醚甲环唑、噻虫嗪、丙溴磷、毒死蜱、三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唑磷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 w14:paraId="32687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18798B31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（二）畜禽产品</w:t>
      </w:r>
    </w:p>
    <w:p w14:paraId="197EAC31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抽样方法：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按照《动物及动物产品兽药残留监控抽样规范》（NY/T 1897－2010）规定执行。</w:t>
      </w:r>
    </w:p>
    <w:p w14:paraId="441084B1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监测项目和检测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方法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猪尿、牛尿、猪肉、猪肝、牛肉中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瘦肉精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监测可用酶联免疫法、胶体金检测卡等快速测定方法进行筛选，阳性样品需用液质联用法进行确认，具体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检测方法见下表。</w:t>
      </w:r>
    </w:p>
    <w:tbl>
      <w:tblPr>
        <w:tblStyle w:val="7"/>
        <w:tblW w:w="504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494"/>
        <w:gridCol w:w="4799"/>
        <w:gridCol w:w="2238"/>
      </w:tblGrid>
      <w:tr w14:paraId="2FBEF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07" w:type="pct"/>
            <w:gridSpan w:val="2"/>
            <w:tcBorders>
              <w:bottom w:val="nil"/>
            </w:tcBorders>
            <w:vAlign w:val="center"/>
          </w:tcPr>
          <w:p w14:paraId="21CC8853">
            <w:pPr>
              <w:pStyle w:val="6"/>
              <w:spacing w:before="132" w:line="315" w:lineRule="exact"/>
              <w:ind w:left="22"/>
              <w:jc w:val="center"/>
              <w:rPr>
                <w:rFonts w:hint="default" w:ascii="仿宋" w:hAnsi="仿宋" w:eastAsia="仿宋" w:cs="仿宋"/>
                <w:b/>
                <w:bCs/>
                <w:spacing w:val="9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position w:val="1"/>
                <w:sz w:val="23"/>
                <w:szCs w:val="23"/>
                <w:lang w:val="en-US" w:eastAsia="zh-CN"/>
              </w:rPr>
              <w:t>样品种类</w:t>
            </w:r>
          </w:p>
        </w:tc>
        <w:tc>
          <w:tcPr>
            <w:tcW w:w="2859" w:type="pct"/>
            <w:tcBorders>
              <w:bottom w:val="nil"/>
            </w:tcBorders>
            <w:vAlign w:val="center"/>
          </w:tcPr>
          <w:p w14:paraId="46846D81">
            <w:pPr>
              <w:pStyle w:val="6"/>
              <w:spacing w:before="132" w:line="315" w:lineRule="exact"/>
              <w:ind w:left="22"/>
              <w:jc w:val="center"/>
              <w:rPr>
                <w:rFonts w:ascii="仿宋" w:hAnsi="仿宋" w:eastAsia="仿宋" w:cs="仿宋"/>
                <w:b/>
                <w:bCs/>
                <w:spacing w:val="9"/>
                <w:position w:val="1"/>
                <w:sz w:val="23"/>
                <w:szCs w:val="23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监测项目</w:t>
            </w:r>
          </w:p>
        </w:tc>
        <w:tc>
          <w:tcPr>
            <w:tcW w:w="1333" w:type="pct"/>
            <w:vAlign w:val="center"/>
          </w:tcPr>
          <w:p w14:paraId="42CA1DD9">
            <w:pPr>
              <w:jc w:val="center"/>
              <w:rPr>
                <w:rFonts w:hint="eastAsia" w:ascii="仿宋" w:hAnsi="仿宋" w:eastAsia="仿宋_GB2312" w:cs="仿宋"/>
                <w:spacing w:val="2"/>
                <w:sz w:val="23"/>
                <w:szCs w:val="23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判定依据</w:t>
            </w:r>
          </w:p>
        </w:tc>
      </w:tr>
      <w:tr w14:paraId="4492B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12" w:type="pct"/>
            <w:vMerge w:val="restart"/>
            <w:tcBorders>
              <w:bottom w:val="nil"/>
            </w:tcBorders>
            <w:vAlign w:val="top"/>
          </w:tcPr>
          <w:p w14:paraId="1F73232F">
            <w:pPr>
              <w:spacing w:line="281" w:lineRule="auto"/>
              <w:rPr>
                <w:rFonts w:ascii="Arial"/>
                <w:sz w:val="21"/>
              </w:rPr>
            </w:pPr>
          </w:p>
          <w:p w14:paraId="71FCB534">
            <w:pPr>
              <w:spacing w:line="281" w:lineRule="auto"/>
              <w:rPr>
                <w:rFonts w:ascii="Arial"/>
                <w:sz w:val="21"/>
              </w:rPr>
            </w:pPr>
          </w:p>
          <w:p w14:paraId="06D4C693">
            <w:pPr>
              <w:spacing w:line="282" w:lineRule="auto"/>
              <w:rPr>
                <w:rFonts w:ascii="Arial"/>
                <w:sz w:val="21"/>
              </w:rPr>
            </w:pPr>
          </w:p>
          <w:p w14:paraId="62579B68">
            <w:pPr>
              <w:spacing w:line="282" w:lineRule="auto"/>
              <w:rPr>
                <w:rFonts w:ascii="Arial"/>
                <w:sz w:val="21"/>
              </w:rPr>
            </w:pPr>
          </w:p>
          <w:p w14:paraId="1C94F187">
            <w:pPr>
              <w:pStyle w:val="6"/>
              <w:spacing w:before="74" w:line="243" w:lineRule="auto"/>
              <w:ind w:left="91" w:right="74" w:firstLine="132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3"/>
                <w:szCs w:val="23"/>
              </w:rPr>
              <w:t>畜禽</w:t>
            </w:r>
            <w:r>
              <w:rPr>
                <w:rFonts w:ascii="仿宋" w:hAnsi="仿宋" w:eastAsia="仿宋" w:cs="仿宋"/>
                <w:b/>
                <w:bCs/>
                <w:spacing w:val="3"/>
                <w:sz w:val="23"/>
                <w:szCs w:val="23"/>
              </w:rPr>
              <w:t>产品类</w:t>
            </w:r>
          </w:p>
        </w:tc>
        <w:tc>
          <w:tcPr>
            <w:tcW w:w="294" w:type="pct"/>
            <w:vMerge w:val="restart"/>
            <w:tcBorders>
              <w:bottom w:val="nil"/>
            </w:tcBorders>
            <w:vAlign w:val="top"/>
          </w:tcPr>
          <w:p w14:paraId="0B6132F8">
            <w:pPr>
              <w:spacing w:before="305" w:line="246" w:lineRule="auto"/>
              <w:ind w:left="153" w:right="117" w:hanging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3"/>
                <w:szCs w:val="23"/>
              </w:rPr>
              <w:t>畜产</w:t>
            </w:r>
            <w:r>
              <w:rPr>
                <w:rFonts w:ascii="仿宋" w:hAnsi="仿宋" w:eastAsia="仿宋" w:cs="仿宋"/>
                <w:b/>
                <w:bCs/>
                <w:spacing w:val="-14"/>
                <w:sz w:val="23"/>
                <w:szCs w:val="23"/>
              </w:rPr>
              <w:t>品类</w:t>
            </w:r>
          </w:p>
        </w:tc>
        <w:tc>
          <w:tcPr>
            <w:tcW w:w="2859" w:type="pct"/>
            <w:vAlign w:val="top"/>
          </w:tcPr>
          <w:p w14:paraId="1BCFD3F1">
            <w:pPr>
              <w:pStyle w:val="6"/>
              <w:spacing w:before="132" w:line="315" w:lineRule="exact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9"/>
                <w:position w:val="1"/>
                <w:sz w:val="23"/>
                <w:szCs w:val="23"/>
              </w:rPr>
              <w:t>禁用药物</w:t>
            </w:r>
            <w:r>
              <w:rPr>
                <w:spacing w:val="9"/>
                <w:position w:val="1"/>
                <w:sz w:val="23"/>
                <w:szCs w:val="23"/>
              </w:rPr>
              <w:t>#-</w:t>
            </w:r>
            <w:r>
              <w:rPr>
                <w:rFonts w:ascii="仿宋" w:hAnsi="仿宋" w:eastAsia="仿宋" w:cs="仿宋"/>
                <w:spacing w:val="9"/>
                <w:position w:val="1"/>
                <w:sz w:val="23"/>
                <w:szCs w:val="23"/>
              </w:rPr>
              <w:t>受体激动剂类（克伦特罗、莱克多巴胺</w:t>
            </w:r>
            <w:r>
              <w:rPr>
                <w:rFonts w:ascii="仿宋" w:hAnsi="仿宋" w:eastAsia="仿宋" w:cs="仿宋"/>
                <w:spacing w:val="8"/>
                <w:position w:val="1"/>
                <w:sz w:val="23"/>
                <w:szCs w:val="23"/>
              </w:rPr>
              <w:t>、沙丁胺醇）</w:t>
            </w:r>
          </w:p>
        </w:tc>
        <w:tc>
          <w:tcPr>
            <w:tcW w:w="1333" w:type="pct"/>
            <w:vMerge w:val="restart"/>
            <w:vAlign w:val="top"/>
          </w:tcPr>
          <w:p w14:paraId="6ABD147A">
            <w:pPr>
              <w:rPr>
                <w:rFonts w:ascii="仿宋" w:hAnsi="仿宋" w:eastAsia="仿宋" w:cs="仿宋"/>
                <w:b/>
                <w:bCs/>
                <w:spacing w:val="9"/>
                <w:position w:val="1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药物残留按 GB 31650-2019、GB 31650.1-2022、农业农村部第 250 号公告等进行判定。</w:t>
            </w:r>
          </w:p>
        </w:tc>
      </w:tr>
      <w:tr w14:paraId="0F279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12" w:type="pct"/>
            <w:vMerge w:val="continue"/>
            <w:tcBorders>
              <w:top w:val="nil"/>
              <w:bottom w:val="nil"/>
            </w:tcBorders>
            <w:vAlign w:val="top"/>
          </w:tcPr>
          <w:p w14:paraId="17D93252">
            <w:pPr>
              <w:rPr>
                <w:rFonts w:ascii="Arial"/>
                <w:sz w:val="21"/>
              </w:rPr>
            </w:pPr>
          </w:p>
        </w:tc>
        <w:tc>
          <w:tcPr>
            <w:tcW w:w="294" w:type="pct"/>
            <w:vMerge w:val="continue"/>
            <w:tcBorders>
              <w:top w:val="nil"/>
            </w:tcBorders>
            <w:vAlign w:val="top"/>
          </w:tcPr>
          <w:p w14:paraId="636D598A">
            <w:pPr>
              <w:rPr>
                <w:rFonts w:ascii="Arial"/>
                <w:sz w:val="21"/>
              </w:rPr>
            </w:pPr>
          </w:p>
        </w:tc>
        <w:tc>
          <w:tcPr>
            <w:tcW w:w="2859" w:type="pct"/>
            <w:vAlign w:val="top"/>
          </w:tcPr>
          <w:p w14:paraId="386F6688">
            <w:pPr>
              <w:spacing w:before="31" w:line="226" w:lineRule="auto"/>
              <w:ind w:right="20" w:firstLine="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9"/>
                <w:sz w:val="23"/>
                <w:szCs w:val="23"/>
              </w:rPr>
              <w:t>常规药物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磺胺类（磺胺间甲氧嘧啶、磺胺二甲嘧啶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、磺胺甲噁唑、磺胺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（间）二甲氧嘧啶）</w:t>
            </w:r>
          </w:p>
        </w:tc>
        <w:tc>
          <w:tcPr>
            <w:tcW w:w="1333" w:type="pct"/>
            <w:vMerge w:val="continue"/>
            <w:vAlign w:val="top"/>
          </w:tcPr>
          <w:p w14:paraId="1B5A9573">
            <w:pPr>
              <w:spacing w:before="31" w:line="226" w:lineRule="auto"/>
              <w:ind w:right="20" w:firstLine="33"/>
              <w:rPr>
                <w:rFonts w:ascii="仿宋" w:hAnsi="仿宋" w:eastAsia="仿宋" w:cs="仿宋"/>
                <w:b/>
                <w:bCs/>
                <w:spacing w:val="9"/>
                <w:sz w:val="23"/>
                <w:szCs w:val="23"/>
              </w:rPr>
            </w:pPr>
          </w:p>
        </w:tc>
      </w:tr>
      <w:tr w14:paraId="1EA61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12" w:type="pct"/>
            <w:vMerge w:val="continue"/>
            <w:tcBorders>
              <w:top w:val="nil"/>
              <w:bottom w:val="nil"/>
            </w:tcBorders>
            <w:vAlign w:val="top"/>
          </w:tcPr>
          <w:p w14:paraId="6FDBB221">
            <w:pPr>
              <w:rPr>
                <w:rFonts w:ascii="Arial"/>
                <w:sz w:val="21"/>
              </w:rPr>
            </w:pPr>
          </w:p>
        </w:tc>
        <w:tc>
          <w:tcPr>
            <w:tcW w:w="294" w:type="pct"/>
            <w:vAlign w:val="top"/>
          </w:tcPr>
          <w:p w14:paraId="4E8C2B96">
            <w:pPr>
              <w:spacing w:before="166" w:line="313" w:lineRule="exact"/>
              <w:ind w:left="1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position w:val="1"/>
                <w:sz w:val="23"/>
                <w:szCs w:val="23"/>
              </w:rPr>
              <w:t>禽肉</w:t>
            </w:r>
          </w:p>
        </w:tc>
        <w:tc>
          <w:tcPr>
            <w:tcW w:w="2859" w:type="pct"/>
            <w:vAlign w:val="top"/>
          </w:tcPr>
          <w:p w14:paraId="1C477FD9">
            <w:pPr>
              <w:spacing w:before="30" w:line="226" w:lineRule="auto"/>
              <w:ind w:left="27" w:right="48" w:firstLine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23"/>
                <w:szCs w:val="23"/>
              </w:rPr>
              <w:t>常规药物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氟喹诺酮类（恩诺沙星、环丙沙星）、酰胺醇类（氟苯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尼考、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氟苯尼考胺）</w:t>
            </w:r>
          </w:p>
        </w:tc>
        <w:tc>
          <w:tcPr>
            <w:tcW w:w="1333" w:type="pct"/>
            <w:vMerge w:val="continue"/>
            <w:vAlign w:val="top"/>
          </w:tcPr>
          <w:p w14:paraId="3B1ABA3F">
            <w:pPr>
              <w:spacing w:before="30" w:line="226" w:lineRule="auto"/>
              <w:ind w:left="27" w:right="48" w:firstLine="2"/>
              <w:rPr>
                <w:rFonts w:ascii="仿宋" w:hAnsi="仿宋" w:eastAsia="仿宋" w:cs="仿宋"/>
                <w:b/>
                <w:bCs/>
                <w:spacing w:val="8"/>
                <w:sz w:val="23"/>
                <w:szCs w:val="23"/>
              </w:rPr>
            </w:pPr>
          </w:p>
        </w:tc>
      </w:tr>
      <w:tr w14:paraId="73A4A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12" w:type="pct"/>
            <w:vMerge w:val="continue"/>
            <w:tcBorders>
              <w:top w:val="nil"/>
              <w:bottom w:val="nil"/>
            </w:tcBorders>
            <w:vAlign w:val="top"/>
          </w:tcPr>
          <w:p w14:paraId="6541441B">
            <w:pPr>
              <w:rPr>
                <w:rFonts w:ascii="Arial"/>
                <w:sz w:val="21"/>
              </w:rPr>
            </w:pPr>
          </w:p>
        </w:tc>
        <w:tc>
          <w:tcPr>
            <w:tcW w:w="294" w:type="pct"/>
            <w:vMerge w:val="restart"/>
            <w:tcBorders>
              <w:bottom w:val="nil"/>
            </w:tcBorders>
            <w:vAlign w:val="top"/>
          </w:tcPr>
          <w:p w14:paraId="37E1EF17">
            <w:pPr>
              <w:spacing w:before="307" w:line="246" w:lineRule="auto"/>
              <w:ind w:left="127" w:righ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z w:val="23"/>
                <w:szCs w:val="23"/>
              </w:rPr>
              <w:t>禽肉禽蛋</w:t>
            </w:r>
          </w:p>
        </w:tc>
        <w:tc>
          <w:tcPr>
            <w:tcW w:w="2859" w:type="pct"/>
            <w:vAlign w:val="top"/>
          </w:tcPr>
          <w:p w14:paraId="4FE20363">
            <w:pPr>
              <w:spacing w:before="164" w:line="309" w:lineRule="exact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position w:val="1"/>
                <w:sz w:val="23"/>
                <w:szCs w:val="23"/>
              </w:rPr>
              <w:t>禁用药物</w:t>
            </w:r>
            <w:r>
              <w:rPr>
                <w:rFonts w:ascii="仿宋" w:hAnsi="仿宋" w:eastAsia="仿宋" w:cs="仿宋"/>
                <w:spacing w:val="8"/>
                <w:position w:val="1"/>
                <w:sz w:val="23"/>
                <w:szCs w:val="23"/>
              </w:rPr>
              <w:t>酰胺醇类（氯霉素）</w:t>
            </w:r>
          </w:p>
        </w:tc>
        <w:tc>
          <w:tcPr>
            <w:tcW w:w="1333" w:type="pct"/>
            <w:vMerge w:val="continue"/>
            <w:vAlign w:val="top"/>
          </w:tcPr>
          <w:p w14:paraId="2214E65A">
            <w:pPr>
              <w:spacing w:before="164" w:line="309" w:lineRule="exact"/>
              <w:ind w:left="22"/>
              <w:rPr>
                <w:rFonts w:ascii="仿宋" w:hAnsi="仿宋" w:eastAsia="仿宋" w:cs="仿宋"/>
                <w:b/>
                <w:bCs/>
                <w:spacing w:val="8"/>
                <w:position w:val="1"/>
                <w:sz w:val="23"/>
                <w:szCs w:val="23"/>
              </w:rPr>
            </w:pPr>
          </w:p>
        </w:tc>
      </w:tr>
      <w:tr w14:paraId="25733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12" w:type="pct"/>
            <w:vMerge w:val="continue"/>
            <w:tcBorders>
              <w:top w:val="nil"/>
              <w:bottom w:val="nil"/>
            </w:tcBorders>
            <w:vAlign w:val="top"/>
          </w:tcPr>
          <w:p w14:paraId="40ADDBE8">
            <w:pPr>
              <w:rPr>
                <w:rFonts w:ascii="Arial"/>
                <w:sz w:val="21"/>
              </w:rPr>
            </w:pPr>
          </w:p>
        </w:tc>
        <w:tc>
          <w:tcPr>
            <w:tcW w:w="294" w:type="pct"/>
            <w:vMerge w:val="continue"/>
            <w:tcBorders>
              <w:top w:val="nil"/>
            </w:tcBorders>
            <w:vAlign w:val="top"/>
          </w:tcPr>
          <w:p w14:paraId="423BC663">
            <w:pPr>
              <w:rPr>
                <w:rFonts w:ascii="Arial"/>
                <w:sz w:val="21"/>
              </w:rPr>
            </w:pPr>
          </w:p>
        </w:tc>
        <w:tc>
          <w:tcPr>
            <w:tcW w:w="2859" w:type="pct"/>
            <w:vAlign w:val="top"/>
          </w:tcPr>
          <w:p w14:paraId="7FE50F17">
            <w:pPr>
              <w:spacing w:before="30" w:line="226" w:lineRule="auto"/>
              <w:ind w:left="17" w:hanging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3"/>
                <w:szCs w:val="23"/>
              </w:rPr>
              <w:t>食品动物中停止使用药物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氟喹诺酮类（氧氟沙星、培氟沙星、诺氟沙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星）、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金刚烷胺</w:t>
            </w:r>
          </w:p>
        </w:tc>
        <w:tc>
          <w:tcPr>
            <w:tcW w:w="1333" w:type="pct"/>
            <w:vMerge w:val="continue"/>
            <w:vAlign w:val="top"/>
          </w:tcPr>
          <w:p w14:paraId="1456771F">
            <w:pPr>
              <w:spacing w:before="30" w:line="226" w:lineRule="auto"/>
              <w:ind w:left="17" w:hanging="2"/>
              <w:rPr>
                <w:rFonts w:ascii="仿宋" w:hAnsi="仿宋" w:eastAsia="仿宋" w:cs="仿宋"/>
                <w:b/>
                <w:bCs/>
                <w:spacing w:val="-5"/>
                <w:sz w:val="23"/>
                <w:szCs w:val="23"/>
              </w:rPr>
            </w:pPr>
          </w:p>
        </w:tc>
      </w:tr>
      <w:tr w14:paraId="0E40F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12" w:type="pct"/>
            <w:vMerge w:val="continue"/>
            <w:tcBorders>
              <w:top w:val="nil"/>
            </w:tcBorders>
            <w:vAlign w:val="top"/>
          </w:tcPr>
          <w:p w14:paraId="0DB76AFA">
            <w:pPr>
              <w:rPr>
                <w:rFonts w:ascii="Arial"/>
                <w:sz w:val="21"/>
              </w:rPr>
            </w:pPr>
          </w:p>
        </w:tc>
        <w:tc>
          <w:tcPr>
            <w:tcW w:w="294" w:type="pct"/>
            <w:vAlign w:val="top"/>
          </w:tcPr>
          <w:p w14:paraId="08C2D671">
            <w:pPr>
              <w:spacing w:before="168" w:line="314" w:lineRule="exact"/>
              <w:ind w:left="1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position w:val="1"/>
                <w:sz w:val="23"/>
                <w:szCs w:val="23"/>
              </w:rPr>
              <w:t>禽蛋</w:t>
            </w:r>
          </w:p>
        </w:tc>
        <w:tc>
          <w:tcPr>
            <w:tcW w:w="2859" w:type="pct"/>
            <w:vAlign w:val="top"/>
          </w:tcPr>
          <w:p w14:paraId="226C0E62">
            <w:pPr>
              <w:spacing w:before="34" w:line="225" w:lineRule="auto"/>
              <w:ind w:left="15" w:right="6" w:firstLine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z w:val="23"/>
                <w:szCs w:val="23"/>
              </w:rPr>
              <w:t>产蛋期不得使用药物</w:t>
            </w:r>
            <w:r>
              <w:rPr>
                <w:rFonts w:ascii="仿宋" w:hAnsi="仿宋" w:eastAsia="仿宋" w:cs="仿宋"/>
                <w:sz w:val="23"/>
                <w:szCs w:val="23"/>
              </w:rPr>
              <w:t>氟喹诺酮类（</w:t>
            </w:r>
            <w:r>
              <w:rPr>
                <w:rFonts w:ascii="仿宋" w:hAnsi="仿宋" w:eastAsia="仿宋" w:cs="仿宋"/>
                <w:spacing w:val="-5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</w:rPr>
              <w:t>恩诺沙星、环丙沙星）、酰胺醇类（氟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苯尼考、氟苯尼考胺），多西环素</w:t>
            </w:r>
          </w:p>
        </w:tc>
        <w:tc>
          <w:tcPr>
            <w:tcW w:w="1333" w:type="pct"/>
            <w:vMerge w:val="continue"/>
            <w:vAlign w:val="top"/>
          </w:tcPr>
          <w:p w14:paraId="25B95010">
            <w:pPr>
              <w:spacing w:before="34" w:line="225" w:lineRule="auto"/>
              <w:ind w:left="15" w:right="6" w:firstLine="1"/>
              <w:rPr>
                <w:rFonts w:ascii="仿宋" w:hAnsi="仿宋" w:eastAsia="仿宋" w:cs="仿宋"/>
                <w:b/>
                <w:bCs/>
                <w:sz w:val="23"/>
                <w:szCs w:val="23"/>
              </w:rPr>
            </w:pPr>
          </w:p>
        </w:tc>
      </w:tr>
    </w:tbl>
    <w:p w14:paraId="410225C7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（三）水产品</w:t>
      </w:r>
    </w:p>
    <w:p w14:paraId="739D963B"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抽样方法：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按《水产品抽样规范》（GB/T 30891－2014）规定执行。</w:t>
      </w:r>
    </w:p>
    <w:p w14:paraId="51A64280"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监测项目和检测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方法。</w:t>
      </w:r>
    </w:p>
    <w:tbl>
      <w:tblPr>
        <w:tblStyle w:val="7"/>
        <w:tblW w:w="5055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4546"/>
        <w:gridCol w:w="2542"/>
      </w:tblGrid>
      <w:tr w14:paraId="3CDE5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782" w:type="pct"/>
            <w:vAlign w:val="center"/>
          </w:tcPr>
          <w:p w14:paraId="18F58087">
            <w:pPr>
              <w:pStyle w:val="6"/>
              <w:spacing w:before="75" w:line="256" w:lineRule="auto"/>
              <w:ind w:right="279"/>
              <w:jc w:val="both"/>
              <w:rPr>
                <w:rFonts w:ascii="仿宋" w:hAnsi="仿宋" w:eastAsia="仿宋" w:cs="仿宋"/>
                <w:b/>
                <w:bCs/>
                <w:spacing w:val="3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position w:val="1"/>
                <w:sz w:val="23"/>
                <w:szCs w:val="23"/>
                <w:lang w:val="en-US" w:eastAsia="zh-CN"/>
              </w:rPr>
              <w:t>样品种类</w:t>
            </w:r>
          </w:p>
        </w:tc>
        <w:tc>
          <w:tcPr>
            <w:tcW w:w="2705" w:type="pct"/>
            <w:vAlign w:val="center"/>
          </w:tcPr>
          <w:p w14:paraId="36B6A8D2">
            <w:pPr>
              <w:spacing w:before="7" w:line="213" w:lineRule="auto"/>
              <w:ind w:left="30"/>
              <w:jc w:val="center"/>
              <w:rPr>
                <w:rFonts w:ascii="仿宋" w:hAnsi="仿宋" w:eastAsia="仿宋" w:cs="仿宋"/>
                <w:b/>
                <w:bCs/>
                <w:spacing w:val="8"/>
                <w:sz w:val="23"/>
                <w:szCs w:val="23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监测项目</w:t>
            </w:r>
          </w:p>
        </w:tc>
        <w:tc>
          <w:tcPr>
            <w:tcW w:w="1512" w:type="pct"/>
            <w:vAlign w:val="center"/>
          </w:tcPr>
          <w:p w14:paraId="22AB6CA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_GB2312" w:cs="仿宋"/>
                <w:snapToGrid w:val="0"/>
                <w:color w:val="000000"/>
                <w:spacing w:val="-4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判定依据</w:t>
            </w:r>
          </w:p>
        </w:tc>
      </w:tr>
      <w:tr w14:paraId="4245D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782" w:type="pct"/>
            <w:vAlign w:val="top"/>
          </w:tcPr>
          <w:p w14:paraId="40DC09ED">
            <w:pPr>
              <w:spacing w:line="344" w:lineRule="auto"/>
              <w:rPr>
                <w:rFonts w:ascii="Arial"/>
                <w:sz w:val="21"/>
              </w:rPr>
            </w:pPr>
          </w:p>
          <w:p w14:paraId="440AAC38">
            <w:pPr>
              <w:spacing w:line="344" w:lineRule="auto"/>
              <w:rPr>
                <w:rFonts w:ascii="Arial"/>
                <w:sz w:val="21"/>
              </w:rPr>
            </w:pPr>
          </w:p>
          <w:p w14:paraId="3DB2F40A">
            <w:pPr>
              <w:pStyle w:val="6"/>
              <w:spacing w:before="75" w:line="256" w:lineRule="auto"/>
              <w:ind w:left="277" w:right="279" w:firstLine="1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3"/>
                <w:szCs w:val="23"/>
              </w:rPr>
              <w:t>水产品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3"/>
                <w:szCs w:val="23"/>
              </w:rPr>
              <w:t>（</w:t>
            </w:r>
            <w:r>
              <w:rPr>
                <w:rFonts w:ascii="仿宋" w:hAnsi="仿宋" w:eastAsia="仿宋" w:cs="仿宋"/>
                <w:spacing w:val="-55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7"/>
                <w:sz w:val="23"/>
                <w:szCs w:val="23"/>
              </w:rPr>
              <w:t>13</w:t>
            </w:r>
            <w:r>
              <w:rPr>
                <w:b/>
                <w:bCs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3"/>
                <w:szCs w:val="23"/>
              </w:rPr>
              <w:t>种）</w:t>
            </w:r>
          </w:p>
        </w:tc>
        <w:tc>
          <w:tcPr>
            <w:tcW w:w="2705" w:type="pct"/>
            <w:vAlign w:val="top"/>
          </w:tcPr>
          <w:p w14:paraId="455046D5">
            <w:pPr>
              <w:spacing w:before="16" w:line="241" w:lineRule="auto"/>
              <w:ind w:left="34" w:hanging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3"/>
                <w:szCs w:val="23"/>
              </w:rPr>
              <w:t>禁用药物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 xml:space="preserve"> 氯霉素、孔雀石绿、硝基呋喃类代谢物（</w:t>
            </w:r>
            <w:r>
              <w:rPr>
                <w:rFonts w:ascii="仿宋" w:hAnsi="仿宋" w:eastAsia="仿宋" w:cs="仿宋"/>
                <w:spacing w:val="-5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呋喃唑酮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、呋喃它酮、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呋喃妥因、呋喃西林）</w:t>
            </w:r>
          </w:p>
          <w:p w14:paraId="41F8BD99">
            <w:pPr>
              <w:spacing w:before="2"/>
              <w:ind w:left="17" w:right="3" w:hanging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3"/>
                <w:szCs w:val="23"/>
              </w:rPr>
              <w:t>食品动物中停止使用药物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氟喹诺酮类（诺氟沙星、氧氟沙星、培氟沙星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和洛美沙星）</w:t>
            </w:r>
          </w:p>
          <w:p w14:paraId="3300C67E">
            <w:pPr>
              <w:spacing w:line="244" w:lineRule="auto"/>
              <w:ind w:left="18" w:right="6" w:firstLine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3"/>
                <w:szCs w:val="23"/>
              </w:rPr>
              <w:t>动物性食品中不得检出药物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地西泮（在第二次、第三次例行监测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（风险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监测）中检测）</w:t>
            </w:r>
          </w:p>
          <w:p w14:paraId="61794248">
            <w:pPr>
              <w:spacing w:before="7" w:line="213" w:lineRule="auto"/>
              <w:ind w:left="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23"/>
                <w:szCs w:val="23"/>
              </w:rPr>
              <w:t>常规药物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氟喹诺酮类（恩诺沙星和环丙沙星）</w:t>
            </w:r>
          </w:p>
        </w:tc>
        <w:tc>
          <w:tcPr>
            <w:tcW w:w="1512" w:type="pct"/>
            <w:vAlign w:val="top"/>
          </w:tcPr>
          <w:p w14:paraId="4E194DF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仿宋" w:hAnsi="仿宋" w:eastAsia="仿宋" w:cs="仿宋"/>
                <w:b/>
                <w:bCs/>
                <w:spacing w:val="8"/>
                <w:sz w:val="23"/>
                <w:szCs w:val="23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3"/>
                <w:szCs w:val="23"/>
                <w:lang w:val="en-US" w:eastAsia="en-US" w:bidi="ar-SA"/>
              </w:rPr>
              <w:t>药物残留按照 GB 31650-2019 、GB 31650.1-2022 、农业部第 2292 号公告等进行判定。</w:t>
            </w:r>
          </w:p>
        </w:tc>
      </w:tr>
    </w:tbl>
    <w:p w14:paraId="21743DBD">
      <w:pPr>
        <w:adjustRightInd w:val="0"/>
        <w:snapToGrid w:val="0"/>
        <w:spacing w:line="570" w:lineRule="exact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</w:p>
    <w:p w14:paraId="28E10C2F">
      <w:pPr>
        <w:adjustRightInd w:val="0"/>
        <w:snapToGrid w:val="0"/>
        <w:spacing w:line="57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</w:t>
      </w:r>
    </w:p>
    <w:p w14:paraId="5AA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定量检测计划安排</w:t>
      </w:r>
    </w:p>
    <w:p w14:paraId="048FE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379批次，涉及乡镇为晋熙、城西、小池、北中、弥陀、刘畈、天华7个乡镇。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E0FCE"/>
    <w:rsid w:val="2A126566"/>
    <w:rsid w:val="6D6B22F7"/>
    <w:rsid w:val="72B60AE0"/>
    <w:rsid w:val="77BE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1062</Words>
  <Characters>1168</Characters>
  <Lines>0</Lines>
  <Paragraphs>0</Paragraphs>
  <TotalTime>0</TotalTime>
  <ScaleCrop>false</ScaleCrop>
  <LinksUpToDate>false</LinksUpToDate>
  <CharactersWithSpaces>1208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2026-03-23T08:03:00Z</dcterms:created>
  <dc:creator>a阿景</dc:creator>
  <cp:lastModifiedBy>a阿景</cp:lastModifiedBy>
  <dcterms:modified xsi:type="dcterms:W3CDTF">2026-04-21T00:35:03Z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671F472C8985404CA57ADC8CDB2A8428_11</vt:lpwstr>
  </property>
  <property fmtid="{D5CDD505-2E9C-101B-9397-08002B2CF9AE}" pid="4" name="KSOTemplateDocerSaveRecord">
    <vt:lpwstr>eyJoZGlkIjoiMzIzMDQwZGQ4NWJlNDJkYzFiYjM3MThkZjA5M2U1OWMiLCJ1c2VySWQiOiI0NTg0OTQ2MzYifQ==</vt:lpwstr>
  </property>
</Properties>
</file>