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C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安庆市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太湖县生态环境分局采购</w:t>
      </w:r>
    </w:p>
    <w:p w14:paraId="54AA3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技术服务项目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 w14:paraId="2B09A93B">
      <w:pPr>
        <w:rPr>
          <w:rFonts w:hint="eastAsia"/>
          <w:lang w:eastAsia="zh-CN"/>
        </w:rPr>
      </w:pPr>
    </w:p>
    <w:p w14:paraId="6A6E8E19">
      <w:pPr>
        <w:pStyle w:val="8"/>
        <w:spacing w:line="360" w:lineRule="auto"/>
        <w:ind w:firstLine="643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一、项目概况</w:t>
      </w:r>
    </w:p>
    <w:p w14:paraId="515D5DF2">
      <w:pPr>
        <w:pStyle w:val="8"/>
        <w:spacing w:line="360" w:lineRule="auto"/>
        <w:ind w:firstLine="640"/>
        <w:rPr>
          <w:rFonts w:hint="eastAsia" w:ascii="仿宋_GB2312" w:hAnsi="宋体" w:eastAsia="仿宋_GB2312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sz w:val="32"/>
          <w:szCs w:val="32"/>
        </w:rPr>
        <w:t>1.项目名称：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《太湖县重污染天气应急预案》《太湖县辐射事故应急预案》《太湖县集中式饮用水水源地突发环境事件应急预案》《安庆市太湖县生态环境分局突发环境事件应急预案》</w:t>
      </w:r>
      <w:r>
        <w:rPr>
          <w:rFonts w:hint="eastAsia" w:ascii="仿宋_GB2312" w:hAnsi="方正仿宋_GB18030" w:eastAsia="仿宋_GB2312" w:cs="方正仿宋_GB18030"/>
          <w:sz w:val="32"/>
          <w:szCs w:val="32"/>
        </w:rPr>
        <w:t>修编技术服务项目</w:t>
      </w:r>
    </w:p>
    <w:p w14:paraId="2EF1CF3D">
      <w:pPr>
        <w:pStyle w:val="8"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2.采购单位：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安庆市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太湖县生态环境分局</w:t>
      </w:r>
    </w:p>
    <w:p w14:paraId="30E5B1DC">
      <w:pPr>
        <w:pStyle w:val="8"/>
        <w:spacing w:line="360" w:lineRule="auto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.采购预算：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150000</w:t>
      </w:r>
      <w:r>
        <w:rPr>
          <w:rFonts w:hint="eastAsia" w:ascii="仿宋_GB2312" w:hAnsi="宋体" w:eastAsia="仿宋_GB2312"/>
          <w:sz w:val="32"/>
          <w:szCs w:val="32"/>
        </w:rPr>
        <w:t>元（人民币）</w:t>
      </w:r>
    </w:p>
    <w:p w14:paraId="5F394AE6">
      <w:pPr>
        <w:pStyle w:val="8"/>
        <w:spacing w:line="360" w:lineRule="auto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.采购项目内容</w:t>
      </w:r>
    </w:p>
    <w:p w14:paraId="057579B9">
      <w:pPr>
        <w:pStyle w:val="9"/>
        <w:spacing w:line="360" w:lineRule="auto"/>
        <w:ind w:firstLine="640" w:firstLineChars="200"/>
        <w:rPr>
          <w:rFonts w:hint="eastAsia" w:ascii="仿宋_GB2312" w:hAnsi="宋体" w:eastAsia="仿宋_GB2312" w:cs="宋体"/>
          <w:bCs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</w:rPr>
        <w:t>（1）根据国家、省、市有关突发环境事件应急预案的法律法规、技术规范和导则指南等规定，对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《太湖县重污染天气应急预案》《太湖县辐射事故应急预案》《太湖县集中式饮用水水源地突发环境事件应急预案》《安庆市太湖县生态环境分局突发环境事件应急预案》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</w:rPr>
        <w:t>进行修编；</w:t>
      </w:r>
    </w:p>
    <w:p w14:paraId="1F8A2BCD">
      <w:pPr>
        <w:pStyle w:val="9"/>
        <w:spacing w:line="360" w:lineRule="auto"/>
        <w:ind w:firstLine="640" w:firstLineChars="200"/>
        <w:rPr>
          <w:rFonts w:hint="eastAsia" w:ascii="仿宋_GB2312" w:hAnsi="宋体" w:eastAsia="仿宋_GB2312" w:cs="宋体"/>
          <w:bCs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</w:rPr>
        <w:t>（2）就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《太湖县重污染天气应急预案》《太湖县辐射事故应急预案》《太湖县集中式饮用水水源地突发环境事件应急预案》《安庆市太湖县生态环境分局突发环境事件应急预案》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</w:rPr>
        <w:t>部门应急职责、事件分级、预警分级、信息发布、应急监测等实施情况进行回顾性分析，查找存在的问题和差距；</w:t>
      </w:r>
    </w:p>
    <w:p w14:paraId="1FB2106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《太湖县集中式饮用水水源地突发环境事件应急预案》中的集中式饮用水水源地应含花亭湖和汪洋水库，应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同步开展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水源地基础状况调查和风险评估，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编制符合各自特点和特定突发环境事件情景的应急响应专章。</w:t>
      </w:r>
    </w:p>
    <w:p w14:paraId="4FDCBAFF">
      <w:pPr>
        <w:pStyle w:val="8"/>
        <w:spacing w:line="360" w:lineRule="auto"/>
        <w:ind w:firstLine="643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</w:t>
      </w:r>
      <w:r>
        <w:rPr>
          <w:rFonts w:ascii="黑体" w:hAns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采购内容要求：</w:t>
      </w:r>
    </w:p>
    <w:p w14:paraId="5E7956BA">
      <w:pPr>
        <w:pStyle w:val="2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（一）工作要求</w:t>
      </w:r>
    </w:p>
    <w:p w14:paraId="6856EAFB">
      <w:pPr>
        <w:pStyle w:val="2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1、开展基础状况调查，梳理各部门的应急处置职责；</w:t>
      </w:r>
    </w:p>
    <w:p w14:paraId="1BEA4419">
      <w:pPr>
        <w:pStyle w:val="2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2、在调查的基础上完成区域突发环境事件风险评估；</w:t>
      </w:r>
    </w:p>
    <w:p w14:paraId="70D3DD65">
      <w:pPr>
        <w:pStyle w:val="2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3、对县级及生态环境部门可用应急资源进行调查；</w:t>
      </w:r>
    </w:p>
    <w:p w14:paraId="5FC8C4D6">
      <w:pPr>
        <w:pStyle w:val="2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4、协助组织突发环境事件应急预案专家评审；</w:t>
      </w:r>
    </w:p>
    <w:p w14:paraId="1882A1A5">
      <w:pPr>
        <w:pStyle w:val="2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5、完成突发环境事件应急预案备案。</w:t>
      </w:r>
    </w:p>
    <w:p w14:paraId="16E4950B">
      <w:pPr>
        <w:pStyle w:val="2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（二）验收条件</w:t>
      </w:r>
    </w:p>
    <w:p w14:paraId="7FBA9BA5">
      <w:pPr>
        <w:spacing w:line="360" w:lineRule="auto"/>
        <w:ind w:firstLine="6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《太湖县重污染天气应急预案》《太湖县辐射事故应急预案》《太湖县集中式饮用水水源地突发环境事件应急预案》《安庆市太湖县生态环境分局突发环境事件应急预案》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通过专家评审并完成备案。</w:t>
      </w:r>
    </w:p>
    <w:p w14:paraId="04BD2FB2">
      <w:pPr>
        <w:spacing w:line="360" w:lineRule="auto"/>
        <w:ind w:firstLine="6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（三）工作时限</w:t>
      </w:r>
    </w:p>
    <w:p w14:paraId="6EF1509D">
      <w:pPr>
        <w:spacing w:line="360" w:lineRule="auto"/>
        <w:ind w:firstLine="6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本项目完成招标，签订技术咨询服务合后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90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个工作日内完成。</w:t>
      </w:r>
    </w:p>
    <w:p w14:paraId="02041CB1">
      <w:pPr>
        <w:pStyle w:val="8"/>
        <w:spacing w:line="360" w:lineRule="auto"/>
        <w:ind w:firstLine="643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三、应标要求</w:t>
      </w:r>
    </w:p>
    <w:p w14:paraId="75E932DC">
      <w:pPr>
        <w:pStyle w:val="8"/>
        <w:spacing w:line="360" w:lineRule="auto"/>
        <w:ind w:firstLine="64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1、具有独立法人资格，具有合法有效的营业执照；具备环境应急相关体系认证，认证范围包含环境风险应急预案编制及备案相关内容；</w:t>
      </w:r>
    </w:p>
    <w:p w14:paraId="2D666DD9">
      <w:pPr>
        <w:pStyle w:val="8"/>
        <w:spacing w:line="360" w:lineRule="auto"/>
        <w:ind w:firstLine="64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2、项目负责人必须为高级工程师或副高级以上职称，且近3年至少完成过1项县区级及以上政府部门委托的突发环境事件应急预案业绩，同等价格情况下，具有政府类突发环境事件应急预案编制业绩的优先；</w:t>
      </w:r>
    </w:p>
    <w:p w14:paraId="70AD7DE9">
      <w:pPr>
        <w:pStyle w:val="8"/>
        <w:spacing w:line="360" w:lineRule="auto"/>
        <w:ind w:firstLine="64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3、具备履行应急预案编制服务所必须的专业技术能力，需同时具备2名及以上备案的环境影响评价工程师、2名及以上辐射专业技术人员，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并且近3个月在本单位缴纳社保的证明；</w:t>
      </w:r>
    </w:p>
    <w:p w14:paraId="29E6A064">
      <w:pPr>
        <w:pStyle w:val="8"/>
        <w:spacing w:line="360" w:lineRule="auto"/>
        <w:ind w:firstLine="64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4、不接受联合体参与，不接受转包、分包。</w:t>
      </w:r>
    </w:p>
    <w:p w14:paraId="0FB973EB">
      <w:pPr>
        <w:pStyle w:val="8"/>
        <w:spacing w:line="360" w:lineRule="auto"/>
        <w:ind w:firstLine="643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b/>
          <w:sz w:val="32"/>
          <w:szCs w:val="32"/>
        </w:rPr>
        <w:t>评标方式:</w:t>
      </w:r>
    </w:p>
    <w:p w14:paraId="04D494FE">
      <w:pPr>
        <w:pStyle w:val="4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本项目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优先</w:t>
      </w:r>
      <w:r>
        <w:rPr>
          <w:rFonts w:hint="eastAsia" w:ascii="仿宋_GB2312" w:hAnsi="宋体" w:eastAsia="仿宋_GB2312" w:cs="宋体"/>
          <w:sz w:val="32"/>
          <w:szCs w:val="32"/>
        </w:rPr>
        <w:t>采用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均价</w:t>
      </w:r>
      <w:r>
        <w:rPr>
          <w:rFonts w:hint="eastAsia" w:ascii="仿宋_GB2312" w:hAnsi="宋体" w:eastAsia="仿宋_GB2312" w:cs="宋体"/>
          <w:sz w:val="32"/>
          <w:szCs w:val="32"/>
        </w:rPr>
        <w:t>中标评审方式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</w:rPr>
        <w:t>满足技术和服务要求等全部实质性要求的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直接选取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37688005"/>
    <w:p w14:paraId="468054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DQzOTk4YzUxN2RiNThjM2MzYmQ1MGE0OWEzYWYifQ=="/>
    <w:docVar w:name="KSO_WPS_MARK_KEY" w:val="e8eb45d2-a39f-40cf-838d-5d92cc0ec462"/>
  </w:docVars>
  <w:rsids>
    <w:rsidRoot w:val="548A35B1"/>
    <w:rsid w:val="03795BF7"/>
    <w:rsid w:val="0E601E8E"/>
    <w:rsid w:val="1E9A1657"/>
    <w:rsid w:val="309353A2"/>
    <w:rsid w:val="548A35B1"/>
    <w:rsid w:val="6410048D"/>
    <w:rsid w:val="6A3D3FA6"/>
    <w:rsid w:val="6FB236D1"/>
    <w:rsid w:val="71A0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0"/>
    <w:pPr>
      <w:ind w:firstLine="200" w:firstLineChars="200"/>
    </w:pPr>
  </w:style>
  <w:style w:type="paragraph" w:customStyle="1" w:styleId="9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1075</Characters>
  <Lines>0</Lines>
  <Paragraphs>0</Paragraphs>
  <TotalTime>53</TotalTime>
  <ScaleCrop>false</ScaleCrop>
  <LinksUpToDate>false</LinksUpToDate>
  <CharactersWithSpaces>1075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2024-11-15T02:10:00Z</dcterms:created>
  <dc:creator>缘份天空</dc:creator>
  <cp:lastModifiedBy>缘份天空</cp:lastModifiedBy>
  <dcterms:modified xsi:type="dcterms:W3CDTF">2024-12-19T07:55:02Z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6BDC47DA8956417099CD9152293A7D14_13</vt:lpwstr>
  </property>
</Properties>
</file>