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rPr>
      </w:pPr>
      <w:r>
        <w:rPr>
          <w:rFonts w:hint="eastAsia"/>
          <w:b/>
          <w:bCs/>
          <w:color w:val="000000"/>
          <w:sz w:val="38"/>
          <w:lang w:eastAsia="zh-CN"/>
        </w:rPr>
        <w:t>安</w:t>
      </w:r>
      <w:r>
        <w:rPr>
          <w:b/>
          <w:bCs/>
          <w:color w:val="000000"/>
          <w:sz w:val="38"/>
        </w:rPr>
        <w:t>徽太湖花亭湖国家湿地公园湿地修复项目（二期）--长河二桥至情人岛段植被修复工程晋熙镇晋陈公路花亭湖村殷冲组公路边坡治理工程稳定性检测</w:t>
      </w:r>
    </w:p>
    <w:p>
      <w:pPr>
        <w:spacing w:line="360" w:lineRule="auto"/>
        <w:jc w:val="center"/>
        <w:rPr>
          <w:b/>
          <w:bCs/>
        </w:rPr>
      </w:pPr>
      <w:r>
        <w:rPr>
          <w:b/>
          <w:bCs/>
          <w:color w:val="000000"/>
          <w:sz w:val="36"/>
        </w:rPr>
        <w:t>项目服务需求及技术要求</w:t>
      </w:r>
    </w:p>
    <w:p>
      <w:pPr>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宋体" w:hAnsi="宋体" w:eastAsia="宋体" w:cs="宋体"/>
          <w:b/>
          <w:bCs/>
          <w:sz w:val="32"/>
          <w:szCs w:val="32"/>
        </w:rPr>
      </w:pPr>
      <w:r>
        <w:rPr>
          <w:rFonts w:hint="eastAsia" w:ascii="宋体" w:hAnsi="宋体" w:eastAsia="宋体" w:cs="宋体"/>
          <w:b/>
          <w:bCs/>
          <w:color w:val="000000"/>
          <w:sz w:val="32"/>
          <w:szCs w:val="32"/>
        </w:rPr>
        <w:t>一、项目任务</w:t>
      </w:r>
    </w:p>
    <w:p>
      <w:pPr>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宋体" w:hAnsi="宋体" w:eastAsia="宋体" w:cs="宋体"/>
          <w:b/>
          <w:bCs/>
          <w:sz w:val="32"/>
          <w:szCs w:val="32"/>
        </w:rPr>
      </w:pPr>
      <w:r>
        <w:rPr>
          <w:rFonts w:hint="eastAsia" w:ascii="宋体" w:hAnsi="宋体" w:eastAsia="宋体" w:cs="宋体"/>
          <w:b/>
          <w:bCs/>
          <w:color w:val="000000"/>
          <w:sz w:val="32"/>
          <w:szCs w:val="32"/>
        </w:rPr>
        <w:t>（一）规划依据</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sz w:val="32"/>
          <w:szCs w:val="32"/>
        </w:rPr>
      </w:pPr>
      <w:r>
        <w:rPr>
          <w:rFonts w:hint="eastAsia" w:ascii="宋体" w:hAnsi="宋体" w:eastAsia="宋体" w:cs="宋体"/>
          <w:color w:val="000000"/>
          <w:sz w:val="32"/>
          <w:szCs w:val="32"/>
        </w:rPr>
        <w:t>1、《安庆市发展改革委关于下达重大区域发展战略建设（长江经济带绿色发展方向）2021年生态环境突出问题整改项目中央预算内投资计划的通知》（安发改投资［2021］166号）；2、《安徽太湖花亭湖国家湿地公园湿地修复项目（二期）-长河二桥至情人岛段植被修复工程设计方案》；3、《太湖县晋熙镇晋陈公路花亭湖村殷冲组公路边坡治理</w:t>
      </w:r>
      <w:r>
        <w:rPr>
          <w:rFonts w:hint="eastAsia" w:ascii="宋体" w:hAnsi="宋体" w:eastAsia="宋体" w:cs="宋体"/>
          <w:color w:val="000000"/>
          <w:sz w:val="32"/>
          <w:szCs w:val="32"/>
          <w:lang w:eastAsia="zh-CN"/>
        </w:rPr>
        <w:t>工程</w:t>
      </w:r>
      <w:r>
        <w:rPr>
          <w:rFonts w:hint="eastAsia" w:ascii="宋体" w:hAnsi="宋体" w:eastAsia="宋体" w:cs="宋体"/>
          <w:color w:val="000000"/>
          <w:sz w:val="32"/>
          <w:szCs w:val="32"/>
        </w:rPr>
        <w:t>设计报告》；4、《太湖县晋熙镇晋陈公路花亭湖村殷冲组公路边坡治理</w:t>
      </w:r>
      <w:r>
        <w:rPr>
          <w:rFonts w:hint="eastAsia" w:ascii="宋体" w:hAnsi="宋体" w:eastAsia="宋体" w:cs="宋体"/>
          <w:color w:val="000000"/>
          <w:sz w:val="32"/>
          <w:szCs w:val="32"/>
          <w:lang w:eastAsia="zh-CN"/>
        </w:rPr>
        <w:t>工程</w:t>
      </w:r>
      <w:r>
        <w:rPr>
          <w:rFonts w:hint="eastAsia" w:ascii="宋体" w:hAnsi="宋体" w:eastAsia="宋体" w:cs="宋体"/>
          <w:color w:val="000000"/>
          <w:sz w:val="32"/>
          <w:szCs w:val="32"/>
        </w:rPr>
        <w:t>变更设计》；5、《</w:t>
      </w:r>
      <w:r>
        <w:rPr>
          <w:rFonts w:hint="eastAsia" w:ascii="宋体" w:hAnsi="宋体" w:eastAsia="宋体" w:cs="宋体"/>
          <w:color w:val="000000"/>
          <w:sz w:val="32"/>
          <w:szCs w:val="32"/>
          <w:lang w:eastAsia="zh-CN"/>
        </w:rPr>
        <w:t>太湖县晋熙镇晋陈公路花亭湖殷冲组公路边坡治理工程专家初步验收意见</w:t>
      </w:r>
      <w:r>
        <w:rPr>
          <w:rFonts w:hint="eastAsia" w:ascii="宋体" w:hAnsi="宋体" w:eastAsia="宋体" w:cs="宋体"/>
          <w:color w:val="000000"/>
          <w:sz w:val="32"/>
          <w:szCs w:val="32"/>
        </w:rPr>
        <w:t>》。</w:t>
      </w:r>
    </w:p>
    <w:p>
      <w:pPr>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宋体" w:hAnsi="宋体" w:eastAsia="宋体" w:cs="宋体"/>
          <w:b/>
          <w:bCs/>
          <w:sz w:val="32"/>
          <w:szCs w:val="32"/>
        </w:rPr>
      </w:pPr>
      <w:r>
        <w:rPr>
          <w:rFonts w:hint="eastAsia" w:ascii="宋体" w:hAnsi="宋体" w:eastAsia="宋体" w:cs="宋体"/>
          <w:b/>
          <w:bCs/>
          <w:color w:val="000000"/>
          <w:sz w:val="32"/>
          <w:szCs w:val="32"/>
        </w:rPr>
        <w:t>（二）规划任务</w:t>
      </w:r>
    </w:p>
    <w:p>
      <w:pPr>
        <w:pageBreakBefore w:val="0"/>
        <w:widowControl w:val="0"/>
        <w:kinsoku/>
        <w:wordWrap/>
        <w:overflowPunct/>
        <w:topLinePunct w:val="0"/>
        <w:autoSpaceDE/>
        <w:autoSpaceDN/>
        <w:bidi w:val="0"/>
        <w:adjustRightInd/>
        <w:snapToGrid/>
        <w:spacing w:line="360" w:lineRule="auto"/>
        <w:ind w:left="80" w:firstLine="640" w:firstLineChars="200"/>
        <w:jc w:val="both"/>
        <w:textAlignment w:val="auto"/>
        <w:rPr>
          <w:rFonts w:hint="eastAsia" w:ascii="宋体" w:hAnsi="宋体" w:eastAsia="宋体" w:cs="宋体"/>
          <w:sz w:val="32"/>
          <w:szCs w:val="32"/>
        </w:rPr>
      </w:pPr>
      <w:r>
        <w:rPr>
          <w:rFonts w:hint="eastAsia" w:ascii="宋体" w:hAnsi="宋体" w:eastAsia="宋体" w:cs="宋体"/>
          <w:color w:val="000000"/>
          <w:sz w:val="32"/>
          <w:szCs w:val="32"/>
        </w:rPr>
        <w:t>对安徽太湖花亭湖国家湿地公园湿地修复项目（二期）--长河二桥至情人岛段植被修复工程晋熙镇晋陈公路花亭湖村殷冲组公路边坡治理工程进行稳定性检测。</w:t>
      </w:r>
    </w:p>
    <w:p>
      <w:pPr>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宋体" w:hAnsi="宋体" w:eastAsia="宋体" w:cs="宋体"/>
          <w:b/>
          <w:bCs/>
          <w:sz w:val="32"/>
          <w:szCs w:val="32"/>
        </w:rPr>
      </w:pPr>
      <w:r>
        <w:rPr>
          <w:rFonts w:hint="eastAsia" w:ascii="宋体" w:hAnsi="宋体" w:eastAsia="宋体" w:cs="宋体"/>
          <w:b/>
          <w:bCs/>
          <w:color w:val="000000"/>
          <w:sz w:val="32"/>
          <w:szCs w:val="32"/>
        </w:rPr>
        <w:t>（三）技术要求</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sz w:val="32"/>
          <w:szCs w:val="32"/>
        </w:rPr>
      </w:pPr>
      <w:r>
        <w:rPr>
          <w:rFonts w:hint="eastAsia" w:ascii="宋体" w:hAnsi="宋体" w:eastAsia="宋体" w:cs="宋体"/>
          <w:color w:val="000000"/>
          <w:sz w:val="32"/>
          <w:szCs w:val="32"/>
        </w:rPr>
        <w:t>详见《太湖县</w:t>
      </w:r>
      <w:r>
        <w:rPr>
          <w:rFonts w:hint="eastAsia" w:ascii="宋体" w:hAnsi="宋体" w:eastAsia="宋体" w:cs="宋体"/>
          <w:color w:val="000000"/>
          <w:sz w:val="32"/>
          <w:szCs w:val="32"/>
          <w:lang w:eastAsia="zh-CN"/>
        </w:rPr>
        <w:t>晋熙镇晋陈公路花亭湖村殷冲组公路边坡监测方案</w:t>
      </w:r>
      <w:r>
        <w:rPr>
          <w:rFonts w:hint="eastAsia" w:ascii="宋体" w:hAnsi="宋体" w:eastAsia="宋体" w:cs="宋体"/>
          <w:color w:val="000000"/>
          <w:sz w:val="32"/>
          <w:szCs w:val="32"/>
        </w:rPr>
        <w:t>》。</w:t>
      </w:r>
    </w:p>
    <w:p>
      <w:pPr>
        <w:pageBreakBefore w:val="0"/>
        <w:widowControl w:val="0"/>
        <w:kinsoku/>
        <w:wordWrap/>
        <w:overflowPunct/>
        <w:topLinePunct w:val="0"/>
        <w:autoSpaceDE/>
        <w:autoSpaceDN/>
        <w:bidi w:val="0"/>
        <w:adjustRightInd/>
        <w:snapToGrid/>
        <w:spacing w:line="360" w:lineRule="auto"/>
        <w:ind w:left="20" w:firstLine="643" w:firstLineChars="200"/>
        <w:jc w:val="both"/>
        <w:textAlignment w:val="auto"/>
        <w:rPr>
          <w:rFonts w:hint="eastAsia" w:ascii="宋体" w:hAnsi="宋体" w:eastAsia="宋体" w:cs="宋体"/>
          <w:sz w:val="32"/>
          <w:szCs w:val="32"/>
        </w:rPr>
      </w:pPr>
      <w:r>
        <w:rPr>
          <w:rFonts w:hint="eastAsia" w:ascii="宋体" w:hAnsi="宋体" w:eastAsia="宋体" w:cs="宋体"/>
          <w:b/>
          <w:bCs/>
          <w:color w:val="000000"/>
          <w:sz w:val="32"/>
          <w:szCs w:val="32"/>
        </w:rPr>
        <w:t>二、最高限价：</w:t>
      </w:r>
      <w:r>
        <w:rPr>
          <w:rFonts w:hint="eastAsia" w:ascii="宋体" w:hAnsi="宋体" w:eastAsia="宋体" w:cs="宋体"/>
          <w:color w:val="000000"/>
          <w:sz w:val="32"/>
          <w:szCs w:val="32"/>
        </w:rPr>
        <w:t>控制在</w:t>
      </w:r>
      <w:r>
        <w:rPr>
          <w:rFonts w:hint="eastAsia" w:ascii="宋体" w:hAnsi="宋体" w:eastAsia="宋体" w:cs="宋体"/>
          <w:color w:val="000000"/>
          <w:sz w:val="32"/>
          <w:szCs w:val="32"/>
          <w:lang w:val="en-US" w:eastAsia="zh-CN"/>
        </w:rPr>
        <w:t>5</w:t>
      </w:r>
      <w:r>
        <w:rPr>
          <w:rFonts w:hint="eastAsia" w:ascii="宋体" w:hAnsi="宋体" w:eastAsia="宋体" w:cs="宋体"/>
          <w:color w:val="000000"/>
          <w:sz w:val="32"/>
          <w:szCs w:val="32"/>
        </w:rPr>
        <w:t>万元以内，</w:t>
      </w:r>
      <w:r>
        <w:rPr>
          <w:rFonts w:hint="eastAsia" w:ascii="宋体" w:hAnsi="宋体" w:eastAsia="宋体" w:cs="宋体"/>
          <w:color w:val="000000"/>
          <w:sz w:val="32"/>
          <w:szCs w:val="32"/>
          <w:lang w:eastAsia="zh-CN"/>
        </w:rPr>
        <w:t>在中介超市采取邀请</w:t>
      </w:r>
      <w:bookmarkStart w:id="3" w:name="_GoBack"/>
      <w:bookmarkEnd w:id="3"/>
      <w:r>
        <w:rPr>
          <w:rFonts w:hint="eastAsia" w:ascii="宋体" w:hAnsi="宋体" w:eastAsia="宋体" w:cs="宋体"/>
          <w:color w:val="000000"/>
          <w:sz w:val="32"/>
          <w:szCs w:val="32"/>
          <w:lang w:eastAsia="zh-CN"/>
        </w:rPr>
        <w:t>均</w:t>
      </w:r>
      <w:r>
        <w:rPr>
          <w:rFonts w:hint="eastAsia" w:ascii="宋体" w:hAnsi="宋体" w:eastAsia="宋体" w:cs="宋体"/>
          <w:color w:val="000000"/>
          <w:sz w:val="32"/>
          <w:szCs w:val="32"/>
        </w:rPr>
        <w:t>价</w:t>
      </w:r>
      <w:r>
        <w:rPr>
          <w:rFonts w:hint="eastAsia" w:ascii="宋体" w:hAnsi="宋体" w:eastAsia="宋体" w:cs="宋体"/>
          <w:color w:val="000000"/>
          <w:sz w:val="32"/>
          <w:szCs w:val="32"/>
          <w:lang w:eastAsia="zh-CN"/>
        </w:rPr>
        <w:t>选取的方式确定供应商</w:t>
      </w:r>
      <w:r>
        <w:rPr>
          <w:rFonts w:hint="eastAsia" w:ascii="宋体" w:hAnsi="宋体" w:eastAsia="宋体" w:cs="宋体"/>
          <w:color w:val="000000"/>
          <w:sz w:val="32"/>
          <w:szCs w:val="32"/>
        </w:rPr>
        <w:t>。</w:t>
      </w:r>
    </w:p>
    <w:p>
      <w:pPr>
        <w:pageBreakBefore w:val="0"/>
        <w:widowControl w:val="0"/>
        <w:kinsoku/>
        <w:wordWrap/>
        <w:overflowPunct/>
        <w:topLinePunct w:val="0"/>
        <w:autoSpaceDE/>
        <w:autoSpaceDN/>
        <w:bidi w:val="0"/>
        <w:adjustRightInd/>
        <w:snapToGrid/>
        <w:spacing w:line="360" w:lineRule="auto"/>
        <w:ind w:left="20" w:firstLine="643" w:firstLineChars="200"/>
        <w:jc w:val="both"/>
        <w:textAlignment w:val="auto"/>
        <w:rPr>
          <w:rFonts w:hint="eastAsia" w:ascii="宋体" w:hAnsi="宋体" w:eastAsia="宋体" w:cs="宋体"/>
          <w:sz w:val="32"/>
          <w:szCs w:val="32"/>
        </w:rPr>
      </w:pPr>
      <w:r>
        <w:rPr>
          <w:rFonts w:hint="eastAsia" w:ascii="宋体" w:hAnsi="宋体" w:eastAsia="宋体" w:cs="宋体"/>
          <w:b/>
          <w:bCs/>
          <w:color w:val="000000"/>
          <w:sz w:val="32"/>
          <w:szCs w:val="32"/>
        </w:rPr>
        <w:t>三、服务期限：</w:t>
      </w:r>
      <w:r>
        <w:rPr>
          <w:rFonts w:hint="eastAsia" w:ascii="宋体" w:hAnsi="宋体" w:eastAsia="宋体" w:cs="宋体"/>
          <w:color w:val="000000"/>
          <w:sz w:val="32"/>
          <w:szCs w:val="32"/>
        </w:rPr>
        <w:t>合同签订后</w:t>
      </w:r>
      <w:r>
        <w:rPr>
          <w:rFonts w:hint="eastAsia" w:ascii="宋体" w:hAnsi="宋体" w:eastAsia="宋体" w:cs="宋体"/>
          <w:color w:val="000000"/>
          <w:sz w:val="32"/>
          <w:szCs w:val="32"/>
          <w:lang w:val="en-US" w:eastAsia="zh-CN"/>
        </w:rPr>
        <w:t>6个月完成监测任务</w:t>
      </w:r>
      <w:r>
        <w:rPr>
          <w:rFonts w:hint="eastAsia" w:ascii="宋体" w:hAnsi="宋体" w:eastAsia="宋体" w:cs="宋体"/>
          <w:color w:val="000000"/>
          <w:sz w:val="32"/>
          <w:szCs w:val="32"/>
        </w:rPr>
        <w:t>。</w:t>
      </w:r>
    </w:p>
    <w:p>
      <w:pPr>
        <w:pageBreakBefore w:val="0"/>
        <w:widowControl w:val="0"/>
        <w:kinsoku/>
        <w:wordWrap/>
        <w:overflowPunct/>
        <w:topLinePunct w:val="0"/>
        <w:autoSpaceDE/>
        <w:autoSpaceDN/>
        <w:bidi w:val="0"/>
        <w:adjustRightInd/>
        <w:snapToGrid/>
        <w:spacing w:line="360" w:lineRule="auto"/>
        <w:ind w:left="20" w:firstLine="643"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b/>
          <w:bCs/>
          <w:color w:val="000000"/>
          <w:sz w:val="32"/>
          <w:szCs w:val="32"/>
        </w:rPr>
        <w:t>四、付款方式：</w:t>
      </w:r>
      <w:r>
        <w:rPr>
          <w:rFonts w:hint="eastAsia" w:ascii="宋体" w:hAnsi="宋体" w:eastAsia="宋体" w:cs="宋体"/>
          <w:color w:val="000000"/>
          <w:sz w:val="32"/>
          <w:szCs w:val="32"/>
          <w:lang w:eastAsia="zh-CN"/>
        </w:rPr>
        <w:t>在乙方完成监测任务并提交监测报告后，甲方一次性付清费用</w:t>
      </w:r>
      <w:r>
        <w:rPr>
          <w:rFonts w:hint="eastAsia" w:ascii="宋体" w:hAnsi="宋体" w:eastAsia="宋体" w:cs="宋体"/>
          <w:color w:val="000000"/>
          <w:sz w:val="32"/>
          <w:szCs w:val="32"/>
        </w:rPr>
        <w:t>。乙方须在甲方付款前提交相应金额的正式发票</w:t>
      </w:r>
      <w:r>
        <w:rPr>
          <w:rFonts w:hint="eastAsia" w:ascii="宋体" w:hAnsi="宋体" w:eastAsia="宋体" w:cs="宋体"/>
          <w:color w:val="000000"/>
          <w:sz w:val="32"/>
          <w:szCs w:val="32"/>
          <w:lang w:eastAsia="zh-CN"/>
        </w:rPr>
        <w:t>；乙方未向甲方提交正式发票的，甲方有权拒绝付款；乙方为按时向甲方提交正式发票的</w:t>
      </w:r>
      <w:r>
        <w:rPr>
          <w:rFonts w:hint="eastAsia" w:ascii="宋体" w:hAnsi="宋体" w:eastAsia="宋体" w:cs="宋体"/>
          <w:color w:val="000000"/>
          <w:sz w:val="32"/>
          <w:szCs w:val="32"/>
          <w:lang w:val="en-US" w:eastAsia="zh-CN"/>
        </w:rPr>
        <w:t xml:space="preserve"> ，甲方有权延期付款。</w:t>
      </w:r>
    </w:p>
    <w:p>
      <w:pPr>
        <w:pageBreakBefore w:val="0"/>
        <w:widowControl w:val="0"/>
        <w:kinsoku/>
        <w:wordWrap/>
        <w:overflowPunct/>
        <w:topLinePunct w:val="0"/>
        <w:autoSpaceDE/>
        <w:autoSpaceDN/>
        <w:bidi w:val="0"/>
        <w:adjustRightInd/>
        <w:snapToGrid/>
        <w:spacing w:line="360" w:lineRule="auto"/>
        <w:ind w:left="20" w:firstLine="643" w:firstLineChars="200"/>
        <w:jc w:val="both"/>
        <w:textAlignment w:val="auto"/>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五、提交成果：</w:t>
      </w: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提交上述工作内容要求的全部资料，对工作监测数据、监测报告和有关影像资料的真实性、合理性负责。</w:t>
      </w: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left="20"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32"/>
          <w:szCs w:val="32"/>
          <w:lang w:eastAsia="zh-CN"/>
        </w:rPr>
      </w:pPr>
      <w:r>
        <w:rPr>
          <w:rFonts w:hint="eastAsia" w:ascii="宋体" w:hAnsi="宋体" w:eastAsia="宋体" w:cs="宋体"/>
          <w:color w:val="000000"/>
          <w:sz w:val="32"/>
          <w:szCs w:val="32"/>
          <w:lang w:eastAsia="zh-CN"/>
        </w:rPr>
        <w:t>　　太湖县晋熙镇晋陈公路花亭湖村殷冲组公路边坡监测方案</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eastAsia="zh-CN"/>
        </w:rPr>
      </w:pP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eastAsia="zh-CN"/>
        </w:rPr>
      </w:pPr>
      <w:r>
        <w:rPr>
          <w:rFonts w:hint="eastAsia" w:ascii="宋体" w:hAnsi="宋体" w:eastAsia="宋体" w:cs="宋体"/>
          <w:color w:val="000000"/>
          <w:sz w:val="32"/>
          <w:szCs w:val="32"/>
          <w:lang w:eastAsia="zh-CN"/>
        </w:rPr>
        <w:t>为加强对晋陈公路花亭湖村殷冲组公路边坡治理工程进行稳定性监测，根据《太湖县晋熙镇晋陈公路花亭湖村殷冲组公路边坡治理变更设计》，制定本方案。</w:t>
      </w:r>
    </w:p>
    <w:p>
      <w:pPr>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宋体" w:hAnsi="宋体" w:eastAsia="宋体" w:cs="宋体"/>
          <w:b/>
          <w:bCs/>
          <w:color w:val="000000"/>
          <w:sz w:val="32"/>
          <w:szCs w:val="32"/>
          <w:lang w:eastAsia="zh-CN"/>
        </w:rPr>
      </w:pPr>
      <w:r>
        <w:rPr>
          <w:rFonts w:hint="eastAsia" w:ascii="宋体" w:hAnsi="宋体" w:eastAsia="宋体" w:cs="宋体"/>
          <w:b/>
          <w:bCs/>
          <w:color w:val="000000"/>
          <w:sz w:val="32"/>
          <w:szCs w:val="32"/>
          <w:lang w:eastAsia="zh-CN"/>
        </w:rPr>
        <w:t>一、监测计划</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 xml:space="preserve">  （一）监测地点：太湖县晋熙镇晋陈公路花亭湖村殷冲组公路边坡。</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 xml:space="preserve">  （二）监测时间：6个月。</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 xml:space="preserve">  （三）监测方式：聘请有相关资质的第三方监测。</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 xml:space="preserve">  （四）费用结算：待完成6个月监测，并形成监测报告后，根据合同支付监测费用。</w:t>
      </w:r>
    </w:p>
    <w:p>
      <w:pPr>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二、监测方法</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（一）根据埋设好的基准点，施测一条闭合路线建立初始数据。</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（二）每次观测前按技术要求对仪器进行检查和校正，观测固定测量人员，固定测量仪器和固定路线的要求进行，以保证观测结果精确。</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（三）竖向位移观测工作采用精密几何水准测量方法进行，观测过程中，各项偏差控制及内业数据处理均按照国家《建筑边坡工程监测技术规范》中各项规定执行。</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（四）测量精度控制</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依据边坡治理变更设计要求及沉降位移最大允许值，本工程位移监测精度要求为：1mm。</w:t>
      </w:r>
    </w:p>
    <w:p>
      <w:pPr>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both"/>
        <w:textAlignment w:val="auto"/>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监测频率计报警值</w:t>
      </w:r>
    </w:p>
    <w:p>
      <w:pPr>
        <w:pageBreakBefore w:val="0"/>
        <w:widowControl w:val="0"/>
        <w:numPr>
          <w:ilvl w:val="0"/>
          <w:numId w:val="2"/>
        </w:numPr>
        <w:kinsoku/>
        <w:wordWrap/>
        <w:overflowPunct/>
        <w:topLinePunct w:val="0"/>
        <w:autoSpaceDE/>
        <w:autoSpaceDN/>
        <w:bidi w:val="0"/>
        <w:adjustRightInd/>
        <w:snapToGrid/>
        <w:spacing w:line="360" w:lineRule="auto"/>
        <w:ind w:left="160" w:leftChars="0"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监测频率：</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 xml:space="preserve">   每个月2次，另外突发恶劣天气后，在确保监测安全的情况下，加密监测次数。</w:t>
      </w:r>
    </w:p>
    <w:p>
      <w:pPr>
        <w:pageBreakBefore w:val="0"/>
        <w:widowControl w:val="0"/>
        <w:numPr>
          <w:ilvl w:val="0"/>
          <w:numId w:val="2"/>
        </w:numPr>
        <w:kinsoku/>
        <w:wordWrap/>
        <w:overflowPunct/>
        <w:topLinePunct w:val="0"/>
        <w:autoSpaceDE/>
        <w:autoSpaceDN/>
        <w:bidi w:val="0"/>
        <w:adjustRightInd/>
        <w:snapToGrid/>
        <w:spacing w:line="360" w:lineRule="auto"/>
        <w:ind w:left="160" w:leftChars="0" w:firstLine="640" w:firstLineChars="200"/>
        <w:jc w:val="both"/>
        <w:textAlignment w:val="auto"/>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水平位移报警值为：累计位移50（mm），变化速度≥5mm/d；竖向位移报警值为累计位移40（mm），变化速度≥4mm/d。</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bidi="ar-SA"/>
        </w:rPr>
      </w:pPr>
      <w:r>
        <w:rPr>
          <w:rFonts w:hint="eastAsia" w:ascii="宋体" w:hAnsi="宋体" w:eastAsia="宋体" w:cs="宋体"/>
          <w:color w:val="000000"/>
          <w:sz w:val="32"/>
          <w:szCs w:val="32"/>
          <w:lang w:val="en-US" w:eastAsia="zh-CN"/>
        </w:rPr>
        <w:t xml:space="preserve">  </w:t>
      </w:r>
      <w:r>
        <w:rPr>
          <w:rFonts w:hint="eastAsia" w:ascii="宋体" w:hAnsi="宋体" w:eastAsia="宋体" w:cs="宋体"/>
          <w:color w:val="333333"/>
          <w:sz w:val="32"/>
          <w:szCs w:val="32"/>
          <w:shd w:val="clear" w:color="auto" w:fill="FFFFFF"/>
        </w:rPr>
        <w:t>当监测数据达到设计预警值的80%时，及时通报等相关单位，并立即加密观察频次</w:t>
      </w:r>
      <w:r>
        <w:rPr>
          <w:rFonts w:hint="eastAsia" w:ascii="宋体" w:hAnsi="宋体" w:eastAsia="宋体" w:cs="宋体"/>
          <w:color w:val="333333"/>
          <w:sz w:val="32"/>
          <w:szCs w:val="32"/>
          <w:shd w:val="clear" w:color="auto" w:fill="FFFFFF"/>
          <w:lang w:eastAsia="zh-CN"/>
        </w:rPr>
        <w:t>。</w:t>
      </w:r>
    </w:p>
    <w:p>
      <w:pPr>
        <w:pStyle w:val="2"/>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宋体" w:hAnsi="宋体" w:eastAsia="宋体" w:cs="宋体"/>
          <w:sz w:val="32"/>
          <w:szCs w:val="32"/>
          <w:lang w:val="zh-CN" w:eastAsia="zh-CN" w:bidi="ar-SA"/>
        </w:rPr>
      </w:pPr>
      <w:bookmarkStart w:id="0" w:name="_Toc23354609"/>
      <w:r>
        <w:rPr>
          <w:rFonts w:hint="eastAsia" w:ascii="宋体" w:hAnsi="宋体" w:eastAsia="宋体" w:cs="宋体"/>
          <w:sz w:val="32"/>
          <w:szCs w:val="32"/>
          <w:lang w:val="zh-CN" w:eastAsia="zh-CN" w:bidi="ar-SA"/>
        </w:rPr>
        <w:t>四、监测成果报告编制</w:t>
      </w:r>
      <w:bookmarkEnd w:id="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随着施工监测的进程，及时提交监测成果报告：</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w:t>
      </w:r>
      <w:r>
        <w:rPr>
          <w:rFonts w:hint="eastAsia" w:ascii="宋体" w:hAnsi="宋体" w:eastAsia="宋体" w:cs="宋体"/>
          <w:bCs/>
          <w:sz w:val="32"/>
          <w:szCs w:val="32"/>
          <w:lang w:eastAsia="zh-CN"/>
        </w:rPr>
        <w:t>一</w:t>
      </w:r>
      <w:r>
        <w:rPr>
          <w:rFonts w:hint="eastAsia" w:ascii="宋体" w:hAnsi="宋体" w:eastAsia="宋体" w:cs="宋体"/>
          <w:bCs/>
          <w:sz w:val="32"/>
          <w:szCs w:val="32"/>
        </w:rPr>
        <w:t>）采集数据（包括巡视记录），对数据进行初步分析，初步判断监测对象的安全，如有可疑情况应通知有关各方，并做进一步的监测验证；</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w:t>
      </w:r>
      <w:r>
        <w:rPr>
          <w:rFonts w:hint="eastAsia" w:ascii="宋体" w:hAnsi="宋体" w:eastAsia="宋体" w:cs="宋体"/>
          <w:bCs/>
          <w:sz w:val="32"/>
          <w:szCs w:val="32"/>
          <w:lang w:eastAsia="zh-CN"/>
        </w:rPr>
        <w:t>二</w:t>
      </w:r>
      <w:r>
        <w:rPr>
          <w:rFonts w:hint="eastAsia" w:ascii="宋体" w:hAnsi="宋体" w:eastAsia="宋体" w:cs="宋体"/>
          <w:bCs/>
          <w:sz w:val="32"/>
          <w:szCs w:val="32"/>
        </w:rPr>
        <w:t>）数据录入计算机，进行数据处理；</w:t>
      </w:r>
      <w:bookmarkStart w:id="1" w:name="_Toc28786660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w:t>
      </w:r>
      <w:r>
        <w:rPr>
          <w:rFonts w:hint="eastAsia" w:ascii="宋体" w:hAnsi="宋体" w:eastAsia="宋体" w:cs="宋体"/>
          <w:bCs/>
          <w:sz w:val="32"/>
          <w:szCs w:val="32"/>
          <w:lang w:eastAsia="zh-CN"/>
        </w:rPr>
        <w:t>三</w:t>
      </w:r>
      <w:r>
        <w:rPr>
          <w:rFonts w:hint="eastAsia" w:ascii="宋体" w:hAnsi="宋体" w:eastAsia="宋体" w:cs="宋体"/>
          <w:bCs/>
          <w:sz w:val="32"/>
          <w:szCs w:val="32"/>
        </w:rPr>
        <w:t>）如果处理计算过程中发现监测数值过大，达到报警值，应迅速通知各方，由业主、专家组、设计等决定采取措施，直到可以施工为止。</w:t>
      </w:r>
      <w:bookmarkEnd w:id="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Cs/>
          <w:sz w:val="32"/>
          <w:szCs w:val="32"/>
        </w:rPr>
      </w:pPr>
      <w:bookmarkStart w:id="2" w:name="_Toc287866603"/>
      <w:r>
        <w:rPr>
          <w:rFonts w:hint="eastAsia" w:ascii="宋体" w:hAnsi="宋体" w:eastAsia="宋体" w:cs="宋体"/>
          <w:bCs/>
          <w:sz w:val="32"/>
          <w:szCs w:val="32"/>
        </w:rPr>
        <w:t>（</w:t>
      </w:r>
      <w:r>
        <w:rPr>
          <w:rFonts w:hint="eastAsia" w:ascii="宋体" w:hAnsi="宋体" w:eastAsia="宋体" w:cs="宋体"/>
          <w:bCs/>
          <w:sz w:val="32"/>
          <w:szCs w:val="32"/>
          <w:lang w:eastAsia="zh-CN"/>
        </w:rPr>
        <w:t>四</w:t>
      </w:r>
      <w:r>
        <w:rPr>
          <w:rFonts w:hint="eastAsia" w:ascii="宋体" w:hAnsi="宋体" w:eastAsia="宋体" w:cs="宋体"/>
          <w:bCs/>
          <w:sz w:val="32"/>
          <w:szCs w:val="32"/>
        </w:rPr>
        <w:t>）如果监测数值过大，达到了控制值，应立即紧急通知各方，并启动业主相关的抢险预案。直到措施得当，危险解除，可以施工为止。</w:t>
      </w:r>
      <w:bookmarkEnd w:id="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Cs/>
          <w:sz w:val="32"/>
          <w:szCs w:val="32"/>
        </w:rPr>
      </w:pPr>
      <w:r>
        <w:rPr>
          <w:rFonts w:hint="eastAsia" w:ascii="宋体" w:hAnsi="宋体" w:eastAsia="宋体" w:cs="宋体"/>
          <w:bCs/>
          <w:sz w:val="32"/>
          <w:szCs w:val="32"/>
        </w:rPr>
        <w:t>（</w:t>
      </w:r>
      <w:r>
        <w:rPr>
          <w:rFonts w:hint="eastAsia" w:ascii="宋体" w:hAnsi="宋体" w:eastAsia="宋体" w:cs="宋体"/>
          <w:bCs/>
          <w:sz w:val="32"/>
          <w:szCs w:val="32"/>
          <w:lang w:eastAsia="zh-CN"/>
        </w:rPr>
        <w:t>五</w:t>
      </w:r>
      <w:r>
        <w:rPr>
          <w:rFonts w:hint="eastAsia" w:ascii="宋体" w:hAnsi="宋体" w:eastAsia="宋体" w:cs="宋体"/>
          <w:bCs/>
          <w:sz w:val="32"/>
          <w:szCs w:val="32"/>
        </w:rPr>
        <w:t>）生成监测成果报告后（全部监测工作结束后，一个月后提交最终报告）。成果报告和相关主要数据，建设单位、设计等各方均可以进行实时查询监测成果，与此同时成果报告以书面形式另报送给各相关方。</w:t>
      </w:r>
    </w:p>
    <w:p>
      <w:pPr>
        <w:pStyle w:val="2"/>
        <w:pageBreakBefore w:val="0"/>
        <w:widowControl w:val="0"/>
        <w:kinsoku/>
        <w:wordWrap/>
        <w:overflowPunct/>
        <w:topLinePunct w:val="0"/>
        <w:autoSpaceDE/>
        <w:autoSpaceDN/>
        <w:bidi w:val="0"/>
        <w:adjustRightInd/>
        <w:snapToGrid/>
        <w:spacing w:before="0" w:after="0" w:line="360" w:lineRule="auto"/>
        <w:ind w:firstLine="643" w:firstLineChars="200"/>
        <w:textAlignment w:val="auto"/>
        <w:rPr>
          <w:rFonts w:hint="eastAsia" w:ascii="宋体" w:hAnsi="宋体" w:eastAsia="宋体" w:cs="宋体"/>
          <w:sz w:val="32"/>
          <w:szCs w:val="32"/>
          <w:lang w:val="en-US" w:eastAsia="zh-CN" w:bidi="ar-SA"/>
        </w:rPr>
      </w:pPr>
      <w:r>
        <w:rPr>
          <w:rFonts w:hint="eastAsia" w:ascii="宋体" w:hAnsi="宋体" w:eastAsia="宋体" w:cs="宋体"/>
          <w:sz w:val="32"/>
          <w:szCs w:val="32"/>
          <w:lang w:val="zh-CN" w:eastAsia="zh-CN" w:bidi="ar-SA"/>
        </w:rPr>
        <w:t>五、</w:t>
      </w:r>
      <w:r>
        <w:rPr>
          <w:rFonts w:hint="eastAsia" w:ascii="宋体" w:hAnsi="宋体" w:eastAsia="宋体" w:cs="宋体"/>
          <w:sz w:val="32"/>
          <w:szCs w:val="32"/>
          <w:lang w:val="en-US" w:eastAsia="zh-CN" w:bidi="ar-SA"/>
        </w:rPr>
        <w:t>注意事项</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r>
        <w:rPr>
          <w:rFonts w:hint="eastAsia" w:ascii="宋体" w:hAnsi="宋体" w:eastAsia="宋体" w:cs="宋体"/>
          <w:sz w:val="32"/>
          <w:szCs w:val="32"/>
          <w:lang w:eastAsia="zh-CN"/>
        </w:rPr>
        <w:t>　　（一）</w:t>
      </w:r>
      <w:r>
        <w:rPr>
          <w:rFonts w:hint="eastAsia" w:ascii="宋体" w:hAnsi="宋体" w:eastAsia="宋体" w:cs="宋体"/>
          <w:sz w:val="32"/>
          <w:szCs w:val="32"/>
        </w:rPr>
        <w:t>监测点布设必须按图施工，布设点周围不得堆积大体积或过重材料，以防止影响观测数据准确性。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（二）</w:t>
      </w:r>
      <w:r>
        <w:rPr>
          <w:rFonts w:hint="eastAsia" w:ascii="宋体" w:hAnsi="宋体" w:eastAsia="宋体" w:cs="宋体"/>
          <w:sz w:val="32"/>
          <w:szCs w:val="32"/>
        </w:rPr>
        <w:t>当地面测点在车道上时，把测点顶部布设在低于路面3～5cm处，测点采用钻孔10cm加以保护。</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（三）边坡</w:t>
      </w:r>
      <w:r>
        <w:rPr>
          <w:rFonts w:hint="eastAsia" w:ascii="宋体" w:hAnsi="宋体" w:eastAsia="宋体" w:cs="宋体"/>
          <w:sz w:val="32"/>
          <w:szCs w:val="32"/>
        </w:rPr>
        <w:t>周围沉降观测点布置完毕，用油漆作上标记，提示人们不要破坏，保护好沉降观测点。如果遭到破坏时，应尽快在原来位置或尽量靠近原来位置补设测点，再联测已知点，归算到以前的数据上，保证该点观测数据的连续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bidi="ar-SA"/>
        </w:rPr>
      </w:pP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bidi="ar-SA"/>
        </w:rPr>
      </w:pP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bidi="ar-SA"/>
        </w:rPr>
      </w:pP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bidi="ar-SA"/>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lang w:val="en-US" w:eastAsia="zh-CN" w:bidi="ar-SA"/>
        </w:rPr>
      </w:pPr>
      <w:r>
        <w:rPr>
          <w:rFonts w:hint="eastAsia" w:ascii="宋体" w:hAnsi="宋体" w:eastAsia="宋体" w:cs="宋体"/>
          <w:sz w:val="32"/>
          <w:szCs w:val="32"/>
          <w:lang w:val="en-US" w:eastAsia="zh-CN" w:bidi="ar-SA"/>
        </w:rPr>
        <w:t xml:space="preserve"> 　　　　　　　　　　　　　　　　　　　　 太湖县林业局</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sz w:val="32"/>
          <w:szCs w:val="32"/>
          <w:lang w:val="en-US" w:eastAsia="zh-CN" w:bidi="ar-SA"/>
        </w:rPr>
      </w:pPr>
      <w:r>
        <w:rPr>
          <w:rFonts w:hint="eastAsia" w:ascii="宋体" w:hAnsi="宋体" w:eastAsia="宋体" w:cs="宋体"/>
          <w:sz w:val="32"/>
          <w:szCs w:val="32"/>
          <w:lang w:val="en-US" w:eastAsia="zh-CN" w:bidi="ar-SA"/>
        </w:rPr>
        <w:t xml:space="preserve">                                    2024年4月23日</w:t>
      </w: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p>
    <w:p>
      <w:pPr>
        <w:rPr>
          <w:rFonts w:hint="eastAsia" w:ascii="宋体" w:cs="宋体" w:eastAsiaTheme="minorEastAsia"/>
          <w:sz w:val="28"/>
          <w:szCs w:val="28"/>
          <w:lang w:val="en-US" w:eastAsia="zh-CN" w:bidi="ar-SA"/>
        </w:rPr>
      </w:pPr>
      <w:r>
        <w:rPr>
          <w:rFonts w:hint="eastAsia" w:ascii="宋体" w:cs="宋体" w:eastAsiaTheme="minorEastAsia"/>
          <w:sz w:val="28"/>
          <w:szCs w:val="28"/>
          <w:lang w:val="en-US" w:eastAsia="zh-CN" w:bidi="ar-SA"/>
        </w:rPr>
        <w:t>《太湖县晋熙镇晋陈公路花亭湖村殷冲组公路边坡治理工程稳定性监测》</w:t>
      </w:r>
    </w:p>
    <w:p>
      <w:pPr>
        <w:rPr>
          <w:rFonts w:hint="default" w:ascii="宋体" w:cs="宋体" w:eastAsiaTheme="minorEastAsia"/>
          <w:sz w:val="28"/>
          <w:szCs w:val="28"/>
          <w:lang w:val="en-US" w:eastAsia="zh-CN" w:bidi="ar-SA"/>
        </w:rPr>
      </w:pPr>
      <w:r>
        <w:rPr>
          <w:rFonts w:hint="eastAsia" w:ascii="宋体" w:cs="宋体" w:eastAsiaTheme="minorEastAsia"/>
          <w:sz w:val="28"/>
          <w:szCs w:val="28"/>
          <w:lang w:val="en-US" w:eastAsia="zh-CN" w:bidi="ar-SA"/>
        </w:rPr>
        <w:t xml:space="preserve">  监测单位推荐名单                </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19"/>
        <w:gridCol w:w="3151"/>
        <w:gridCol w:w="1036"/>
        <w:gridCol w:w="2127"/>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345" w:type="pct"/>
            <w:vAlign w:val="center"/>
          </w:tcPr>
          <w:p>
            <w:pPr>
              <w:spacing w:line="360" w:lineRule="auto"/>
              <w:ind w:firstLine="0"/>
              <w:jc w:val="center"/>
              <w:rPr>
                <w:sz w:val="24"/>
                <w:szCs w:val="24"/>
              </w:rPr>
            </w:pPr>
            <w:r>
              <w:rPr>
                <w:rFonts w:hint="eastAsia" w:ascii="宋体" w:hAnsi="宋体" w:eastAsia="宋体"/>
                <w:color w:val="000000"/>
                <w:sz w:val="24"/>
                <w:szCs w:val="24"/>
              </w:rPr>
              <w:t>序号</w:t>
            </w:r>
          </w:p>
        </w:tc>
        <w:tc>
          <w:tcPr>
            <w:tcW w:w="1758" w:type="pct"/>
            <w:vAlign w:val="center"/>
          </w:tcPr>
          <w:p>
            <w:pPr>
              <w:spacing w:line="360" w:lineRule="auto"/>
              <w:ind w:left="140" w:firstLine="0"/>
              <w:jc w:val="center"/>
              <w:rPr>
                <w:sz w:val="24"/>
                <w:szCs w:val="24"/>
              </w:rPr>
            </w:pPr>
            <w:r>
              <w:rPr>
                <w:rFonts w:hint="eastAsia" w:ascii="宋体" w:hAnsi="宋体" w:eastAsia="宋体"/>
                <w:color w:val="000000"/>
                <w:sz w:val="24"/>
                <w:szCs w:val="24"/>
              </w:rPr>
              <w:t>单位名称</w:t>
            </w:r>
          </w:p>
        </w:tc>
        <w:tc>
          <w:tcPr>
            <w:tcW w:w="578" w:type="pct"/>
            <w:vAlign w:val="center"/>
          </w:tcPr>
          <w:p>
            <w:pPr>
              <w:spacing w:line="360" w:lineRule="auto"/>
              <w:jc w:val="center"/>
              <w:rPr>
                <w:sz w:val="24"/>
                <w:szCs w:val="24"/>
              </w:rPr>
            </w:pPr>
            <w:r>
              <w:rPr>
                <w:rFonts w:hint="eastAsia" w:ascii="宋体" w:hAnsi="宋体" w:eastAsia="宋体"/>
                <w:color w:val="000000"/>
                <w:sz w:val="24"/>
                <w:szCs w:val="24"/>
              </w:rPr>
              <w:t>联系人</w:t>
            </w:r>
          </w:p>
        </w:tc>
        <w:tc>
          <w:tcPr>
            <w:tcW w:w="1186" w:type="pct"/>
            <w:vAlign w:val="center"/>
          </w:tcPr>
          <w:p>
            <w:pPr>
              <w:spacing w:line="360" w:lineRule="auto"/>
              <w:ind w:left="120" w:firstLine="0"/>
              <w:jc w:val="center"/>
              <w:rPr>
                <w:sz w:val="24"/>
                <w:szCs w:val="24"/>
              </w:rPr>
            </w:pPr>
            <w:r>
              <w:rPr>
                <w:rFonts w:hint="eastAsia" w:ascii="宋体" w:hAnsi="宋体" w:eastAsia="宋体"/>
                <w:color w:val="000000"/>
                <w:sz w:val="24"/>
                <w:szCs w:val="24"/>
              </w:rPr>
              <w:t>联系电话</w:t>
            </w:r>
          </w:p>
        </w:tc>
        <w:tc>
          <w:tcPr>
            <w:tcW w:w="1131" w:type="pct"/>
            <w:vAlign w:val="center"/>
          </w:tcPr>
          <w:p>
            <w:pPr>
              <w:spacing w:line="360" w:lineRule="auto"/>
              <w:ind w:left="100" w:firstLine="0"/>
              <w:jc w:val="center"/>
              <w:rPr>
                <w:sz w:val="24"/>
                <w:szCs w:val="24"/>
              </w:rPr>
            </w:pPr>
            <w:r>
              <w:rPr>
                <w:rFonts w:hint="eastAsia" w:ascii="宋体" w:hAnsi="宋体" w:eastAsia="宋体"/>
                <w:color w:val="000000"/>
                <w:sz w:val="24"/>
                <w:szCs w:val="24"/>
              </w:rPr>
              <w:t>QQ邮箱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atLeast"/>
        </w:trPr>
        <w:tc>
          <w:tcPr>
            <w:tcW w:w="345" w:type="pct"/>
            <w:vAlign w:val="top"/>
          </w:tcPr>
          <w:p>
            <w:pPr>
              <w:spacing w:before="42" w:line="360" w:lineRule="auto"/>
              <w:ind w:left="80" w:firstLine="0"/>
              <w:jc w:val="center"/>
              <w:rPr>
                <w:sz w:val="24"/>
                <w:szCs w:val="24"/>
              </w:rPr>
            </w:pPr>
            <w:r>
              <w:rPr>
                <w:rFonts w:hint="eastAsia" w:ascii="宋体" w:hAnsi="宋体" w:eastAsia="宋体"/>
                <w:color w:val="000000"/>
                <w:sz w:val="24"/>
                <w:szCs w:val="24"/>
              </w:rPr>
              <w:t>1</w:t>
            </w:r>
          </w:p>
        </w:tc>
        <w:tc>
          <w:tcPr>
            <w:tcW w:w="1758" w:type="pct"/>
            <w:vAlign w:val="center"/>
          </w:tcPr>
          <w:p>
            <w:pPr>
              <w:spacing w:line="360" w:lineRule="auto"/>
              <w:ind w:left="140" w:firstLine="0"/>
              <w:jc w:val="center"/>
              <w:rPr>
                <w:rFonts w:hint="eastAsia" w:eastAsia="宋体"/>
                <w:sz w:val="24"/>
                <w:szCs w:val="24"/>
                <w:lang w:eastAsia="zh-CN"/>
              </w:rPr>
            </w:pPr>
            <w:r>
              <w:rPr>
                <w:rFonts w:hint="eastAsia" w:ascii="宋体" w:hAnsi="宋体" w:eastAsia="宋体" w:cstheme="minorBidi"/>
                <w:color w:val="000000"/>
                <w:sz w:val="24"/>
                <w:szCs w:val="24"/>
                <w:lang w:eastAsia="zh-CN"/>
              </w:rPr>
              <w:t>安徽南岭测绘有限公司</w:t>
            </w:r>
          </w:p>
        </w:tc>
        <w:tc>
          <w:tcPr>
            <w:tcW w:w="578" w:type="pct"/>
            <w:vAlign w:val="top"/>
          </w:tcPr>
          <w:p>
            <w:pPr>
              <w:spacing w:before="36" w:line="360" w:lineRule="auto"/>
              <w:jc w:val="center"/>
              <w:rPr>
                <w:rFonts w:hint="eastAsia" w:eastAsia="宋体"/>
                <w:sz w:val="24"/>
                <w:szCs w:val="24"/>
                <w:lang w:val="en-US" w:eastAsia="zh-CN"/>
              </w:rPr>
            </w:pPr>
            <w:r>
              <w:rPr>
                <w:rFonts w:hint="eastAsia" w:eastAsia="宋体"/>
                <w:sz w:val="24"/>
                <w:szCs w:val="24"/>
                <w:lang w:val="en-US" w:eastAsia="zh-CN"/>
              </w:rPr>
              <w:t>戴术林</w:t>
            </w:r>
          </w:p>
        </w:tc>
        <w:tc>
          <w:tcPr>
            <w:tcW w:w="1186" w:type="pct"/>
            <w:vAlign w:val="top"/>
          </w:tcPr>
          <w:p>
            <w:pPr>
              <w:spacing w:before="85" w:line="360" w:lineRule="auto"/>
              <w:ind w:left="100" w:firstLine="0"/>
              <w:jc w:val="center"/>
              <w:rPr>
                <w:rFonts w:hint="default" w:eastAsia="宋体"/>
                <w:sz w:val="24"/>
                <w:szCs w:val="24"/>
                <w:lang w:val="en-US" w:eastAsia="zh-CN"/>
              </w:rPr>
            </w:pPr>
            <w:r>
              <w:rPr>
                <w:rFonts w:hint="eastAsia" w:ascii="宋体" w:hAnsi="宋体" w:eastAsia="宋体"/>
                <w:color w:val="000000"/>
                <w:sz w:val="24"/>
                <w:szCs w:val="24"/>
                <w:lang w:val="en-US" w:eastAsia="zh-CN"/>
              </w:rPr>
              <w:t>13955607293</w:t>
            </w:r>
          </w:p>
        </w:tc>
        <w:tc>
          <w:tcPr>
            <w:tcW w:w="1131" w:type="pct"/>
            <w:vAlign w:val="top"/>
          </w:tcPr>
          <w:p>
            <w:pPr>
              <w:spacing w:before="42" w:line="360" w:lineRule="auto"/>
              <w:ind w:firstLine="0"/>
              <w:jc w:val="center"/>
              <w:rPr>
                <w:sz w:val="24"/>
                <w:szCs w:val="24"/>
              </w:rPr>
            </w:pPr>
            <w:r>
              <w:rPr>
                <w:rFonts w:hint="eastAsia" w:ascii="宋体" w:hAnsi="宋体" w:eastAsia="宋体"/>
                <w:color w:val="000000"/>
                <w:sz w:val="24"/>
                <w:szCs w:val="24"/>
                <w:lang w:val="en-US" w:eastAsia="zh-CN"/>
              </w:rPr>
              <w:t>289488516</w:t>
            </w:r>
            <w:r>
              <w:rPr>
                <w:rFonts w:hint="eastAsia" w:ascii="宋体" w:hAnsi="宋体" w:eastAsia="宋体"/>
                <w:color w:val="000000"/>
                <w:sz w:val="24"/>
                <w:szCs w:val="24"/>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9" w:hRule="atLeast"/>
        </w:trPr>
        <w:tc>
          <w:tcPr>
            <w:tcW w:w="345" w:type="pct"/>
            <w:vAlign w:val="top"/>
          </w:tcPr>
          <w:p>
            <w:pPr>
              <w:spacing w:before="42" w:line="360" w:lineRule="auto"/>
              <w:ind w:left="60" w:firstLine="0"/>
              <w:jc w:val="center"/>
              <w:rPr>
                <w:sz w:val="24"/>
                <w:szCs w:val="24"/>
              </w:rPr>
            </w:pPr>
            <w:r>
              <w:rPr>
                <w:rFonts w:hint="eastAsia" w:ascii="宋体" w:hAnsi="宋体" w:eastAsia="宋体"/>
                <w:color w:val="000000"/>
                <w:sz w:val="24"/>
                <w:szCs w:val="24"/>
              </w:rPr>
              <w:t>2</w:t>
            </w:r>
          </w:p>
        </w:tc>
        <w:tc>
          <w:tcPr>
            <w:tcW w:w="1758" w:type="pct"/>
            <w:vAlign w:val="center"/>
          </w:tcPr>
          <w:p>
            <w:pPr>
              <w:spacing w:line="360" w:lineRule="auto"/>
              <w:ind w:left="120" w:firstLine="0"/>
              <w:jc w:val="center"/>
              <w:rPr>
                <w:rFonts w:hint="eastAsia" w:eastAsia="宋体"/>
                <w:sz w:val="24"/>
                <w:szCs w:val="24"/>
                <w:lang w:eastAsia="zh-CN"/>
              </w:rPr>
            </w:pPr>
            <w:r>
              <w:rPr>
                <w:rFonts w:hint="eastAsia" w:ascii="宋体" w:hAnsi="宋体" w:eastAsia="宋体"/>
                <w:color w:val="000000"/>
                <w:sz w:val="24"/>
                <w:szCs w:val="24"/>
                <w:lang w:eastAsia="zh-CN"/>
              </w:rPr>
              <w:t>广东兴粤工程勘测有限公司</w:t>
            </w:r>
          </w:p>
        </w:tc>
        <w:tc>
          <w:tcPr>
            <w:tcW w:w="578" w:type="pct"/>
            <w:vAlign w:val="top"/>
          </w:tcPr>
          <w:p>
            <w:pPr>
              <w:spacing w:before="42" w:line="360" w:lineRule="auto"/>
              <w:jc w:val="center"/>
              <w:rPr>
                <w:rFonts w:hint="eastAsia" w:eastAsia="宋体"/>
                <w:sz w:val="24"/>
                <w:szCs w:val="24"/>
                <w:lang w:eastAsia="zh-CN"/>
              </w:rPr>
            </w:pPr>
            <w:r>
              <w:rPr>
                <w:rFonts w:hint="eastAsia" w:ascii="宋体" w:hAnsi="宋体" w:eastAsia="宋体"/>
                <w:color w:val="000000"/>
                <w:sz w:val="24"/>
                <w:szCs w:val="24"/>
                <w:lang w:eastAsia="zh-CN"/>
              </w:rPr>
              <w:t>黄文彬</w:t>
            </w:r>
          </w:p>
        </w:tc>
        <w:tc>
          <w:tcPr>
            <w:tcW w:w="1186" w:type="pct"/>
            <w:vAlign w:val="top"/>
          </w:tcPr>
          <w:p>
            <w:pPr>
              <w:spacing w:before="69" w:line="360" w:lineRule="auto"/>
              <w:ind w:left="100" w:firstLine="0"/>
              <w:jc w:val="center"/>
              <w:rPr>
                <w:rFonts w:hint="default" w:eastAsia="宋体"/>
                <w:sz w:val="24"/>
                <w:szCs w:val="24"/>
                <w:lang w:val="en-US" w:eastAsia="zh-CN"/>
              </w:rPr>
            </w:pPr>
            <w:r>
              <w:rPr>
                <w:rFonts w:hint="eastAsia" w:ascii="宋体" w:hAnsi="宋体" w:eastAsia="宋体"/>
                <w:color w:val="000000"/>
                <w:sz w:val="24"/>
                <w:szCs w:val="24"/>
                <w:lang w:val="en-US" w:eastAsia="zh-CN"/>
              </w:rPr>
              <w:t>18655652588</w:t>
            </w:r>
          </w:p>
        </w:tc>
        <w:tc>
          <w:tcPr>
            <w:tcW w:w="1131" w:type="pct"/>
            <w:vAlign w:val="top"/>
          </w:tcPr>
          <w:p>
            <w:pPr>
              <w:spacing w:before="64" w:line="360" w:lineRule="auto"/>
              <w:ind w:left="120" w:firstLine="0"/>
              <w:jc w:val="center"/>
              <w:rPr>
                <w:sz w:val="24"/>
                <w:szCs w:val="24"/>
              </w:rPr>
            </w:pPr>
            <w:r>
              <w:rPr>
                <w:rFonts w:hint="eastAsia" w:ascii="宋体" w:hAnsi="宋体" w:eastAsia="宋体"/>
                <w:color w:val="000000"/>
                <w:sz w:val="24"/>
                <w:szCs w:val="24"/>
                <w:lang w:val="en-US" w:eastAsia="zh-CN"/>
              </w:rPr>
              <w:t>40112516</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qq</w:t>
            </w:r>
            <w:r>
              <w:rPr>
                <w:rFonts w:hint="eastAsia" w:ascii="宋体" w:hAnsi="宋体" w:eastAsia="宋体"/>
                <w:color w:val="000000"/>
                <w:sz w:val="24"/>
                <w:szCs w:val="24"/>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0" w:hRule="atLeast"/>
        </w:trPr>
        <w:tc>
          <w:tcPr>
            <w:tcW w:w="345" w:type="pct"/>
            <w:vAlign w:val="top"/>
          </w:tcPr>
          <w:p>
            <w:pPr>
              <w:spacing w:before="25" w:line="360" w:lineRule="auto"/>
              <w:ind w:left="60" w:firstLine="0"/>
              <w:jc w:val="center"/>
              <w:rPr>
                <w:sz w:val="24"/>
                <w:szCs w:val="24"/>
              </w:rPr>
            </w:pPr>
            <w:r>
              <w:rPr>
                <w:rFonts w:hint="eastAsia" w:ascii="宋体" w:hAnsi="宋体" w:eastAsia="宋体"/>
                <w:color w:val="000000"/>
                <w:sz w:val="24"/>
                <w:szCs w:val="24"/>
              </w:rPr>
              <w:t>3</w:t>
            </w:r>
          </w:p>
        </w:tc>
        <w:tc>
          <w:tcPr>
            <w:tcW w:w="1758" w:type="pct"/>
            <w:vAlign w:val="center"/>
          </w:tcPr>
          <w:p>
            <w:pPr>
              <w:spacing w:line="360" w:lineRule="auto"/>
              <w:ind w:left="80" w:firstLine="0"/>
              <w:jc w:val="center"/>
              <w:rPr>
                <w:rFonts w:hint="eastAsia" w:eastAsia="宋体"/>
                <w:sz w:val="24"/>
                <w:szCs w:val="24"/>
                <w:lang w:eastAsia="zh-CN"/>
              </w:rPr>
            </w:pPr>
            <w:r>
              <w:rPr>
                <w:rFonts w:hint="eastAsia" w:ascii="宋体" w:hAnsi="宋体" w:eastAsia="宋体"/>
                <w:color w:val="000000"/>
                <w:sz w:val="24"/>
                <w:szCs w:val="24"/>
                <w:lang w:eastAsia="zh-CN"/>
              </w:rPr>
              <w:t>山东博林地理信息有限公司</w:t>
            </w:r>
          </w:p>
        </w:tc>
        <w:tc>
          <w:tcPr>
            <w:tcW w:w="578" w:type="pct"/>
            <w:vAlign w:val="top"/>
          </w:tcPr>
          <w:p>
            <w:pPr>
              <w:spacing w:before="36" w:line="360" w:lineRule="auto"/>
              <w:jc w:val="center"/>
              <w:rPr>
                <w:rFonts w:hint="eastAsia" w:eastAsia="宋体"/>
                <w:sz w:val="24"/>
                <w:szCs w:val="24"/>
                <w:lang w:eastAsia="zh-CN"/>
              </w:rPr>
            </w:pPr>
            <w:r>
              <w:rPr>
                <w:rFonts w:hint="eastAsia"/>
                <w:sz w:val="24"/>
                <w:szCs w:val="24"/>
                <w:lang w:eastAsia="zh-CN"/>
              </w:rPr>
              <w:t>吴星鑫</w:t>
            </w:r>
          </w:p>
        </w:tc>
        <w:tc>
          <w:tcPr>
            <w:tcW w:w="1186" w:type="pct"/>
            <w:vAlign w:val="top"/>
          </w:tcPr>
          <w:p>
            <w:pPr>
              <w:spacing w:before="85" w:line="360" w:lineRule="auto"/>
              <w:ind w:left="120" w:firstLine="0"/>
              <w:jc w:val="center"/>
              <w:rPr>
                <w:rFonts w:hint="default" w:eastAsia="宋体"/>
                <w:sz w:val="24"/>
                <w:szCs w:val="24"/>
                <w:lang w:val="en-US" w:eastAsia="zh-CN"/>
              </w:rPr>
            </w:pPr>
            <w:r>
              <w:rPr>
                <w:rFonts w:hint="eastAsia"/>
                <w:sz w:val="24"/>
                <w:szCs w:val="24"/>
                <w:lang w:val="en-US" w:eastAsia="zh-CN"/>
              </w:rPr>
              <w:t>15212934830</w:t>
            </w:r>
          </w:p>
        </w:tc>
        <w:tc>
          <w:tcPr>
            <w:tcW w:w="1131" w:type="pct"/>
            <w:vAlign w:val="top"/>
          </w:tcPr>
          <w:p>
            <w:pPr>
              <w:spacing w:before="42" w:line="360" w:lineRule="auto"/>
              <w:ind w:left="80" w:firstLine="0"/>
              <w:jc w:val="center"/>
              <w:rPr>
                <w:sz w:val="24"/>
                <w:szCs w:val="24"/>
              </w:rPr>
            </w:pPr>
            <w:r>
              <w:rPr>
                <w:rFonts w:hint="eastAsia" w:ascii="宋体" w:hAnsi="宋体" w:eastAsia="宋体"/>
                <w:color w:val="000000"/>
                <w:sz w:val="24"/>
                <w:szCs w:val="24"/>
                <w:lang w:val="en-US" w:eastAsia="zh-CN"/>
              </w:rPr>
              <w:t>393804190</w:t>
            </w:r>
            <w:r>
              <w:rPr>
                <w:rFonts w:hint="eastAsia" w:ascii="宋体" w:hAnsi="宋体" w:eastAsia="宋体"/>
                <w:color w:val="000000"/>
                <w:sz w:val="24"/>
                <w:szCs w:val="24"/>
              </w:rPr>
              <w:t>@qq.com</w:t>
            </w:r>
          </w:p>
        </w:tc>
      </w:tr>
    </w:tbl>
    <w:p>
      <w:pPr>
        <w:numPr>
          <w:ilvl w:val="0"/>
          <w:numId w:val="0"/>
        </w:numPr>
        <w:spacing w:line="360" w:lineRule="auto"/>
        <w:ind w:left="160" w:leftChars="0"/>
        <w:jc w:val="both"/>
        <w:rPr>
          <w:rFonts w:hint="default" w:asciiTheme="minorHAnsi" w:hAnsiTheme="minorHAnsi" w:eastAsiaTheme="minorEastAsia" w:cstheme="minorBidi"/>
          <w:color w:val="000000"/>
          <w:sz w:val="32"/>
          <w:szCs w:val="32"/>
          <w:lang w:val="en-US" w:eastAsia="zh-CN"/>
        </w:rPr>
      </w:pPr>
    </w:p>
    <w:p>
      <w:pPr>
        <w:numPr>
          <w:ilvl w:val="0"/>
          <w:numId w:val="0"/>
        </w:numPr>
        <w:spacing w:line="360" w:lineRule="auto"/>
        <w:ind w:left="160" w:leftChars="0"/>
        <w:jc w:val="both"/>
        <w:rPr>
          <w:rFonts w:hint="eastAsia" w:asciiTheme="minorHAnsi" w:hAnsiTheme="minorHAnsi" w:eastAsiaTheme="minorEastAsia" w:cstheme="minorBidi"/>
          <w:color w:val="000000"/>
          <w:sz w:val="32"/>
          <w:szCs w:val="32"/>
          <w:lang w:val="en-US" w:eastAsia="zh-CN"/>
        </w:rPr>
      </w:pPr>
      <w:r>
        <w:rPr>
          <w:rFonts w:hint="eastAsia" w:asciiTheme="minorHAnsi" w:hAnsiTheme="minorHAnsi" w:eastAsiaTheme="minorEastAsia" w:cstheme="minorBidi"/>
          <w:color w:val="000000"/>
          <w:sz w:val="32"/>
          <w:szCs w:val="32"/>
          <w:lang w:val="en-US" w:eastAsia="zh-CN"/>
        </w:rPr>
        <w:t>附营业执照：</w:t>
      </w:r>
    </w:p>
    <w:p>
      <w:pPr>
        <w:numPr>
          <w:ilvl w:val="0"/>
          <w:numId w:val="0"/>
        </w:numPr>
        <w:spacing w:line="360" w:lineRule="auto"/>
        <w:ind w:left="160" w:leftChars="0"/>
        <w:jc w:val="both"/>
        <w:rPr>
          <w:rFonts w:hint="eastAsia" w:asciiTheme="minorHAnsi" w:hAnsiTheme="minorHAnsi" w:eastAsiaTheme="minorEastAsia" w:cstheme="minorBidi"/>
          <w:color w:val="000000"/>
          <w:sz w:val="32"/>
          <w:szCs w:val="32"/>
          <w:lang w:val="en-US" w:eastAsia="zh-CN"/>
        </w:rPr>
      </w:pPr>
      <w:r>
        <w:rPr>
          <w:rFonts w:hint="eastAsia" w:asciiTheme="minorHAnsi" w:hAnsiTheme="minorHAnsi" w:eastAsiaTheme="minorEastAsia" w:cstheme="minorBidi"/>
          <w:color w:val="000000"/>
          <w:sz w:val="32"/>
          <w:szCs w:val="32"/>
          <w:lang w:val="en-US" w:eastAsia="zh-CN"/>
        </w:rPr>
        <w:drawing>
          <wp:inline distT="0" distB="0" distL="114300" distR="114300">
            <wp:extent cx="5662930" cy="4117975"/>
            <wp:effectExtent l="0" t="0" r="13970" b="15875"/>
            <wp:docPr id="1" name="图片 1" descr="a15d90230f9d86e8b4385e5097cb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15d90230f9d86e8b4385e5097cb076"/>
                    <pic:cNvPicPr>
                      <a:picLocks noChangeAspect="1"/>
                    </pic:cNvPicPr>
                  </pic:nvPicPr>
                  <pic:blipFill>
                    <a:blip r:embed="rId8"/>
                    <a:stretch>
                      <a:fillRect/>
                    </a:stretch>
                  </pic:blipFill>
                  <pic:spPr>
                    <a:xfrm>
                      <a:off x="0" y="0"/>
                      <a:ext cx="5662930" cy="4117975"/>
                    </a:xfrm>
                    <a:prstGeom prst="rect">
                      <a:avLst/>
                    </a:prstGeom>
                  </pic:spPr>
                </pic:pic>
              </a:graphicData>
            </a:graphic>
          </wp:inline>
        </w:drawing>
      </w:r>
    </w:p>
    <w:p>
      <w:pPr>
        <w:numPr>
          <w:ilvl w:val="0"/>
          <w:numId w:val="0"/>
        </w:numPr>
        <w:spacing w:line="360" w:lineRule="auto"/>
        <w:ind w:left="160" w:leftChars="0"/>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ind w:left="160" w:leftChars="0"/>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ind w:left="160" w:leftChars="0"/>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ind w:left="160" w:leftChars="0"/>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ind w:left="160" w:leftChars="0"/>
        <w:jc w:val="both"/>
        <w:rPr>
          <w:rFonts w:hint="eastAsia" w:asciiTheme="minorHAnsi" w:hAnsiTheme="minorHAnsi" w:eastAsiaTheme="minorEastAsia" w:cstheme="minorBidi"/>
          <w:color w:val="000000"/>
          <w:sz w:val="32"/>
          <w:szCs w:val="32"/>
          <w:lang w:val="en-US" w:eastAsia="zh-CN"/>
        </w:rPr>
      </w:pPr>
    </w:p>
    <w:p>
      <w:pPr>
        <w:rPr>
          <w:rFonts w:hint="eastAsia" w:ascii="宋体" w:cs="宋体" w:eastAsiaTheme="minorEastAsia"/>
          <w:sz w:val="28"/>
          <w:szCs w:val="28"/>
          <w:lang w:val="en-US" w:eastAsia="zh-CN" w:bidi="ar-SA"/>
        </w:rPr>
      </w:pPr>
      <w:r>
        <w:rPr>
          <w:rFonts w:hint="eastAsia" w:asciiTheme="minorHAnsi" w:hAnsiTheme="minorHAnsi" w:eastAsiaTheme="minorEastAsia" w:cstheme="minorBidi"/>
          <w:color w:val="000000"/>
          <w:sz w:val="32"/>
          <w:szCs w:val="32"/>
          <w:lang w:val="en-US" w:eastAsia="zh-CN"/>
        </w:rPr>
        <w:t xml:space="preserve">  </w:t>
      </w:r>
      <w:r>
        <w:rPr>
          <w:rFonts w:hint="eastAsia" w:ascii="宋体" w:cs="宋体" w:eastAsiaTheme="minorEastAsia"/>
          <w:sz w:val="28"/>
          <w:szCs w:val="28"/>
          <w:lang w:val="en-US" w:eastAsia="zh-CN" w:bidi="ar-SA"/>
        </w:rPr>
        <w:t>《太湖县晋熙镇晋陈公路花亭湖村殷冲组公路边坡治理工程稳定性监测》</w:t>
      </w:r>
    </w:p>
    <w:p>
      <w:pPr>
        <w:numPr>
          <w:ilvl w:val="0"/>
          <w:numId w:val="0"/>
        </w:numPr>
        <w:spacing w:line="360" w:lineRule="auto"/>
        <w:jc w:val="both"/>
        <w:rPr>
          <w:rFonts w:hint="eastAsia" w:ascii="宋体" w:cs="宋体" w:eastAsiaTheme="minorEastAsia"/>
          <w:sz w:val="28"/>
          <w:szCs w:val="28"/>
          <w:lang w:val="en-US" w:eastAsia="zh-CN" w:bidi="ar-SA"/>
        </w:rPr>
      </w:pPr>
      <w:r>
        <w:rPr>
          <w:rFonts w:hint="eastAsia" w:ascii="宋体" w:cs="宋体" w:eastAsiaTheme="minorEastAsia"/>
          <w:sz w:val="28"/>
          <w:szCs w:val="28"/>
          <w:lang w:val="en-US" w:eastAsia="zh-CN" w:bidi="ar-SA"/>
        </w:rPr>
        <w:t xml:space="preserve">  监测单位推荐</w:t>
      </w: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r>
        <w:rPr>
          <w:rFonts w:hint="eastAsia" w:cstheme="minorBidi"/>
          <w:color w:val="000000"/>
          <w:sz w:val="32"/>
          <w:szCs w:val="32"/>
          <w:lang w:val="en-US" w:eastAsia="zh-CN"/>
        </w:rPr>
        <w:t xml:space="preserve"> </w:t>
      </w:r>
      <w:r>
        <w:rPr>
          <w:rFonts w:hint="eastAsia" w:asciiTheme="minorHAnsi" w:hAnsiTheme="minorHAnsi" w:eastAsiaTheme="minorEastAsia" w:cstheme="minorBidi"/>
          <w:color w:val="000000"/>
          <w:sz w:val="32"/>
          <w:szCs w:val="32"/>
          <w:lang w:val="en-US" w:eastAsia="zh-CN"/>
        </w:rPr>
        <w:drawing>
          <wp:inline distT="0" distB="0" distL="114300" distR="114300">
            <wp:extent cx="5669915" cy="4078605"/>
            <wp:effectExtent l="0" t="0" r="6985" b="17145"/>
            <wp:docPr id="2" name="图片 2" descr="e6b696c86d3303ee109e98da5fa1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b696c86d3303ee109e98da5fa1d35"/>
                    <pic:cNvPicPr>
                      <a:picLocks noChangeAspect="1"/>
                    </pic:cNvPicPr>
                  </pic:nvPicPr>
                  <pic:blipFill>
                    <a:blip r:embed="rId9"/>
                    <a:stretch>
                      <a:fillRect/>
                    </a:stretch>
                  </pic:blipFill>
                  <pic:spPr>
                    <a:xfrm>
                      <a:off x="0" y="0"/>
                      <a:ext cx="5669915" cy="4078605"/>
                    </a:xfrm>
                    <a:prstGeom prst="rect">
                      <a:avLst/>
                    </a:prstGeom>
                  </pic:spPr>
                </pic:pic>
              </a:graphicData>
            </a:graphic>
          </wp:inline>
        </w:drawing>
      </w: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rPr>
          <w:rFonts w:hint="eastAsia" w:ascii="宋体" w:cs="宋体" w:eastAsiaTheme="minorEastAsia"/>
          <w:sz w:val="28"/>
          <w:szCs w:val="28"/>
          <w:lang w:val="en-US" w:eastAsia="zh-CN" w:bidi="ar-SA"/>
        </w:rPr>
      </w:pPr>
      <w:r>
        <w:rPr>
          <w:rFonts w:hint="eastAsia" w:ascii="宋体" w:cs="宋体" w:eastAsiaTheme="minorEastAsia"/>
          <w:sz w:val="28"/>
          <w:szCs w:val="28"/>
          <w:lang w:val="en-US" w:eastAsia="zh-CN" w:bidi="ar-SA"/>
        </w:rPr>
        <w:t>《太湖县晋熙镇晋陈公路花亭湖村殷冲组公路边坡治理工程稳定性监测》</w:t>
      </w: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r>
        <w:rPr>
          <w:rFonts w:hint="eastAsia" w:ascii="宋体" w:cs="宋体" w:eastAsiaTheme="minorEastAsia"/>
          <w:sz w:val="28"/>
          <w:szCs w:val="28"/>
          <w:lang w:val="en-US" w:eastAsia="zh-CN" w:bidi="ar-SA"/>
        </w:rPr>
        <w:t xml:space="preserve">  监测单位推荐名单</w:t>
      </w: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p>
    <w:p>
      <w:pPr>
        <w:numPr>
          <w:ilvl w:val="0"/>
          <w:numId w:val="0"/>
        </w:numPr>
        <w:spacing w:line="360" w:lineRule="auto"/>
        <w:jc w:val="both"/>
        <w:rPr>
          <w:rFonts w:hint="eastAsia" w:asciiTheme="minorHAnsi" w:hAnsiTheme="minorHAnsi" w:eastAsiaTheme="minorEastAsia" w:cstheme="minorBidi"/>
          <w:color w:val="000000"/>
          <w:sz w:val="32"/>
          <w:szCs w:val="32"/>
          <w:lang w:val="en-US" w:eastAsia="zh-CN"/>
        </w:rPr>
      </w:pPr>
      <w:r>
        <w:rPr>
          <w:rFonts w:hint="eastAsia" w:cstheme="minorBidi"/>
          <w:color w:val="000000"/>
          <w:sz w:val="32"/>
          <w:szCs w:val="32"/>
          <w:lang w:val="en-US" w:eastAsia="zh-CN"/>
        </w:rPr>
        <w:t xml:space="preserve">           </w:t>
      </w:r>
      <w:r>
        <w:rPr>
          <w:rFonts w:hint="eastAsia" w:asciiTheme="minorHAnsi" w:hAnsiTheme="minorHAnsi" w:eastAsiaTheme="minorEastAsia" w:cstheme="minorBidi"/>
          <w:color w:val="000000"/>
          <w:sz w:val="32"/>
          <w:szCs w:val="32"/>
          <w:lang w:val="en-US" w:eastAsia="zh-CN"/>
        </w:rPr>
        <w:drawing>
          <wp:inline distT="0" distB="0" distL="114300" distR="114300">
            <wp:extent cx="4505325" cy="5788660"/>
            <wp:effectExtent l="0" t="0" r="2540" b="9525"/>
            <wp:docPr id="4" name="图片 4" descr="659509acef0f9ab2ba59d1a0baf6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59509acef0f9ab2ba59d1a0baf61c2"/>
                    <pic:cNvPicPr>
                      <a:picLocks noChangeAspect="1"/>
                    </pic:cNvPicPr>
                  </pic:nvPicPr>
                  <pic:blipFill>
                    <a:blip r:embed="rId10"/>
                    <a:stretch>
                      <a:fillRect/>
                    </a:stretch>
                  </pic:blipFill>
                  <pic:spPr>
                    <a:xfrm rot="5400000">
                      <a:off x="0" y="0"/>
                      <a:ext cx="4505325" cy="5788660"/>
                    </a:xfrm>
                    <a:prstGeom prst="rect">
                      <a:avLst/>
                    </a:prstGeom>
                  </pic:spPr>
                </pic:pic>
              </a:graphicData>
            </a:graphic>
          </wp:inline>
        </w:drawing>
      </w:r>
    </w:p>
    <w:p>
      <w:pPr>
        <w:spacing w:line="360" w:lineRule="auto"/>
        <w:jc w:val="both"/>
        <w:rPr>
          <w:rFonts w:hint="default"/>
          <w:color w:val="000000"/>
          <w:sz w:val="32"/>
          <w:szCs w:val="32"/>
          <w:lang w:val="en-US" w:eastAsia="zh-CN"/>
        </w:rPr>
      </w:pPr>
    </w:p>
    <w:sectPr>
      <w:headerReference r:id="rId4" w:type="first"/>
      <w:footerReference r:id="rId6" w:type="first"/>
      <w:headerReference r:id="rId3" w:type="default"/>
      <w:footerReference r:id="rId5" w:type="default"/>
      <w:pgSz w:w="11900" w:h="16840"/>
      <w:pgMar w:top="1320" w:right="1423" w:bottom="1320" w:left="1536" w:header="0" w:footer="1320" w:gutter="0"/>
      <w:cols w:space="4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6QKcsBAACc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W+kCnLAQAAnAMAAA4AAAAAAAAAAQAgAAAAHgEAAGRycy9lMm9E&#10;b2MueG1sUEsFBgAAAAAGAAYAWQEAAFs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A205F5"/>
    <w:multiLevelType w:val="singleLevel"/>
    <w:tmpl w:val="D9A205F5"/>
    <w:lvl w:ilvl="0" w:tentative="0">
      <w:start w:val="1"/>
      <w:numFmt w:val="chineseCounting"/>
      <w:suff w:val="nothing"/>
      <w:lvlText w:val="（%1）"/>
      <w:lvlJc w:val="left"/>
      <w:pPr>
        <w:ind w:left="160" w:leftChars="0" w:firstLine="0" w:firstLineChars="0"/>
      </w:pPr>
      <w:rPr>
        <w:rFonts w:hint="eastAsia"/>
      </w:rPr>
    </w:lvl>
  </w:abstractNum>
  <w:abstractNum w:abstractNumId="1">
    <w:nsid w:val="08242ED0"/>
    <w:multiLevelType w:val="singleLevel"/>
    <w:tmpl w:val="08242ED0"/>
    <w:lvl w:ilvl="0" w:tentative="0">
      <w:start w:val="3"/>
      <w:numFmt w:val="chineseCounting"/>
      <w:suff w:val="nothing"/>
      <w:lvlText w:val="%1、"/>
      <w:lvlJc w:val="left"/>
      <w:rPr>
        <w:rFonts w:hint="eastAsia"/>
        <w:b/>
        <w:bC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hdrShapeDefaults>
    <o:shapelayout v:ext="edit">
      <o:idmap v:ext="edit" data="3,4"/>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1MWE5ZjcyNjAyMDExOGU3YjU5MWExYzc1YzBlOTkifQ=="/>
  </w:docVars>
  <w:rsids>
    <w:rsidRoot w:val="00000000"/>
    <w:rsid w:val="041416E5"/>
    <w:rsid w:val="1BE95866"/>
    <w:rsid w:val="26F90C64"/>
    <w:rsid w:val="284A5169"/>
    <w:rsid w:val="2FE45B67"/>
    <w:rsid w:val="3B77515F"/>
    <w:rsid w:val="4BCF571D"/>
    <w:rsid w:val="52BC176F"/>
    <w:rsid w:val="66A874BC"/>
    <w:rsid w:val="697D1E40"/>
    <w:rsid w:val="71AB3183"/>
    <w:rsid w:val="7E3965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2"/>
    <w:basedOn w:val="1"/>
    <w:next w:val="1"/>
    <w:qFormat/>
    <w:uiPriority w:val="0"/>
    <w:pPr>
      <w:keepNext/>
      <w:keepLines/>
      <w:widowControl w:val="0"/>
      <w:spacing w:before="260" w:after="260" w:line="415" w:lineRule="auto"/>
      <w:outlineLvl w:val="1"/>
    </w:pPr>
    <w:rPr>
      <w:rFonts w:ascii="Cambria" w:hAnsi="Cambria"/>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TotalTime>29</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2024-04-23T02:45:00Z</dcterms:created>
  <dc:creator>openxml-sdk </dc:creator>
  <dc:description>openxml-sdk, CCi Textin Word Converter, JL</dc:description>
  <cp:keywords>CCi</cp:keywords>
  <cp:lastModifiedBy>Administrator</cp:lastModifiedBy>
  <cp:lastPrinted>2024-04-23T07:22:00Z</cp:lastPrinted>
  <dcterms:modified xsi:type="dcterms:W3CDTF">2024-04-25T01:18:07Z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42B500E4C3B947A595F35A4883B517E9_13</vt:lpwstr>
  </property>
</Properties>
</file>