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32"/>
          <w:szCs w:val="32"/>
        </w:rPr>
      </w:pPr>
      <w:r>
        <w:rPr>
          <w:rFonts w:hint="eastAsia" w:asciiTheme="majorEastAsia" w:hAnsiTheme="majorEastAsia" w:eastAsiaTheme="majorEastAsia"/>
          <w:b/>
          <w:sz w:val="44"/>
          <w:szCs w:val="44"/>
        </w:rPr>
        <w:t>房地产价格评估服务机构采购项目</w:t>
      </w:r>
      <w:bookmarkStart w:id="0" w:name="_GoBack"/>
      <w:bookmarkEnd w:id="0"/>
    </w:p>
    <w:p>
      <w:pPr>
        <w:spacing w:line="560" w:lineRule="exact"/>
        <w:ind w:firstLine="600" w:firstLineChars="200"/>
        <w:rPr>
          <w:rFonts w:hint="eastAsia" w:ascii="黑体" w:hAnsi="黑体" w:eastAsia="黑体"/>
          <w:sz w:val="30"/>
          <w:szCs w:val="30"/>
        </w:rPr>
      </w:pPr>
    </w:p>
    <w:p>
      <w:pPr>
        <w:spacing w:line="560" w:lineRule="exact"/>
        <w:ind w:firstLine="600" w:firstLineChars="200"/>
        <w:rPr>
          <w:rFonts w:ascii="黑体" w:hAnsi="黑体" w:eastAsia="黑体"/>
          <w:sz w:val="30"/>
          <w:szCs w:val="30"/>
        </w:rPr>
      </w:pPr>
      <w:r>
        <w:rPr>
          <w:rFonts w:hint="eastAsia" w:ascii="黑体" w:hAnsi="黑体" w:eastAsia="黑体"/>
          <w:sz w:val="30"/>
          <w:szCs w:val="30"/>
        </w:rPr>
        <w:t>一、采购项目名称</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太湖县2021-2022年度国有土地上房屋征收评估服务机构采购项目。</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二、项目内容</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投标人应按照采购人要求，及时、客观、准确、全面地为太湖县2021-2022年度国有土地上房屋征收中土地房屋及装潢附属物的价值提供评估服务。</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三、资质要求</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参与投标的房地产价格评估机构，应同时符合以下两项条件：（1）根据《太湖县网上中介超市建设运行实施方案》规定，投标单位必须在线下已由太湖县发改委审核确认并入驻网上中介超市；（2）具备行政主管部门颁发的房地产估价</w:t>
      </w:r>
      <w:r>
        <w:rPr>
          <w:rFonts w:hint="eastAsia" w:ascii="仿宋" w:hAnsi="仿宋" w:eastAsia="仿宋" w:cs="Times New Roman"/>
          <w:sz w:val="30"/>
          <w:szCs w:val="30"/>
          <w:lang w:eastAsia="zh-CN"/>
        </w:rPr>
        <w:t>、土地估价</w:t>
      </w:r>
      <w:r>
        <w:rPr>
          <w:rFonts w:hint="eastAsia" w:ascii="仿宋" w:hAnsi="仿宋" w:eastAsia="仿宋" w:cs="Times New Roman"/>
          <w:sz w:val="30"/>
          <w:szCs w:val="30"/>
        </w:rPr>
        <w:t>资质。</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四、报价规则</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以</w:t>
      </w:r>
      <w:r>
        <w:rPr>
          <w:rFonts w:hint="eastAsia" w:ascii="仿宋" w:hAnsi="仿宋" w:eastAsia="仿宋"/>
          <w:bCs/>
          <w:sz w:val="30"/>
          <w:szCs w:val="30"/>
        </w:rPr>
        <w:t>房地产</w:t>
      </w:r>
      <w:r>
        <w:rPr>
          <w:rFonts w:hint="eastAsia" w:ascii="仿宋" w:hAnsi="仿宋" w:eastAsia="仿宋"/>
          <w:sz w:val="30"/>
          <w:szCs w:val="30"/>
        </w:rPr>
        <w:t>评估总价值为基数，最高不超过评估总价值的5</w:t>
      </w:r>
      <w:r>
        <w:rPr>
          <w:rFonts w:hint="eastAsia" w:ascii="仿宋" w:hAnsi="仿宋" w:eastAsia="仿宋"/>
          <w:sz w:val="30"/>
          <w:szCs w:val="30"/>
          <w:lang w:val="en-US" w:eastAsia="zh-CN"/>
        </w:rPr>
        <w:t>0</w:t>
      </w:r>
      <w:r>
        <w:rPr>
          <w:rFonts w:hint="eastAsia" w:ascii="仿宋" w:hAnsi="仿宋" w:eastAsia="仿宋" w:cs="仿宋"/>
          <w:color w:val="555555"/>
          <w:kern w:val="0"/>
          <w:sz w:val="24"/>
          <w:szCs w:val="24"/>
          <w:lang w:val="en-US" w:eastAsia="zh-CN" w:bidi="ar"/>
        </w:rPr>
        <w:t>‱</w:t>
      </w:r>
      <w:r>
        <w:rPr>
          <w:rFonts w:hint="eastAsia" w:ascii="仿宋" w:hAnsi="仿宋" w:eastAsia="仿宋"/>
          <w:bCs/>
          <w:sz w:val="30"/>
          <w:szCs w:val="30"/>
          <w:lang w:val="en-US" w:eastAsia="zh-CN"/>
        </w:rPr>
        <w:t>（万分之五十）</w:t>
      </w:r>
      <w:r>
        <w:rPr>
          <w:rFonts w:hint="eastAsia" w:ascii="仿宋" w:hAnsi="仿宋" w:eastAsia="仿宋"/>
          <w:bCs/>
          <w:sz w:val="30"/>
          <w:szCs w:val="30"/>
        </w:rPr>
        <w:t>，</w:t>
      </w:r>
      <w:r>
        <w:rPr>
          <w:rFonts w:hint="eastAsia" w:ascii="仿宋" w:hAnsi="仿宋" w:eastAsia="仿宋"/>
          <w:sz w:val="30"/>
          <w:szCs w:val="30"/>
        </w:rPr>
        <w:t>由具备上述资质要求且有意参与本项目投标的房地产评估机构，在该服务费报价区间内分别报价。每家评估机构只能提交一次报价，提交两次及以上报价的，</w:t>
      </w:r>
      <w:r>
        <w:rPr>
          <w:rFonts w:hint="eastAsia" w:ascii="仿宋" w:hAnsi="仿宋" w:eastAsia="仿宋"/>
          <w:sz w:val="30"/>
          <w:szCs w:val="30"/>
          <w:lang w:eastAsia="zh-CN"/>
        </w:rPr>
        <w:t>视为无效</w:t>
      </w:r>
      <w:r>
        <w:rPr>
          <w:rFonts w:hint="eastAsia" w:ascii="仿宋" w:hAnsi="仿宋" w:eastAsia="仿宋"/>
          <w:sz w:val="30"/>
          <w:szCs w:val="30"/>
        </w:rPr>
        <w:t>报价。</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五、评估机构入围方式</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采购人以所有合格投标人的有效报价均价作为参考值，在最接近该均价的报价中（包括高于均价、等于均价和低于均价三种情形），确定最低不低于</w:t>
      </w:r>
      <w:r>
        <w:rPr>
          <w:rFonts w:hint="eastAsia" w:ascii="仿宋" w:hAnsi="仿宋" w:eastAsia="仿宋"/>
          <w:sz w:val="30"/>
          <w:szCs w:val="30"/>
          <w:lang w:val="en-US" w:eastAsia="zh-CN"/>
        </w:rPr>
        <w:t>3</w:t>
      </w:r>
      <w:r>
        <w:rPr>
          <w:rFonts w:hint="eastAsia" w:ascii="仿宋" w:hAnsi="仿宋" w:eastAsia="仿宋"/>
          <w:sz w:val="30"/>
          <w:szCs w:val="30"/>
        </w:rPr>
        <w:t>家、最高不超过10家评估机构，作为此次采购的入围机构。如出现投标人报价与均价间距相同的情形，投标时间在前者优先入围。</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根据《国有土地上房屋征收与补偿条例》（国务院令第590号），“房地产价格评估机构由被征收人协商选定；协商不成的，通过多数决定、随机选定的方式确定”。故本次采购项目确定的房地产评估机构，仅作为采购人提供给被征收人选择的入围机构，最终的委托评估机构仍以被征收人依法按规定选取的评估机构为准。</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六、服务费标准</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在本次采购期限内，采购人与评估机构签订委托评估服务合同的，按照下列标准计算委托评估服务费：</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1、无论投标人报价多少，实际委托评估服务费一般采取固定方式计算服务费，即：</w:t>
      </w:r>
      <w:r>
        <w:rPr>
          <w:rFonts w:hint="eastAsia" w:ascii="仿宋" w:hAnsi="仿宋" w:eastAsia="仿宋"/>
          <w:bCs/>
          <w:sz w:val="30"/>
          <w:szCs w:val="30"/>
        </w:rPr>
        <w:t>房地产</w:t>
      </w:r>
      <w:r>
        <w:rPr>
          <w:rFonts w:hint="eastAsia" w:ascii="仿宋" w:hAnsi="仿宋" w:eastAsia="仿宋"/>
          <w:sz w:val="30"/>
          <w:szCs w:val="30"/>
        </w:rPr>
        <w:t>评估总价值</w:t>
      </w:r>
      <w:r>
        <w:rPr>
          <w:rFonts w:ascii="仿宋" w:hAnsi="仿宋" w:eastAsia="仿宋"/>
          <w:sz w:val="30"/>
          <w:szCs w:val="30"/>
        </w:rPr>
        <w:t>×</w:t>
      </w:r>
      <w:r>
        <w:rPr>
          <w:rFonts w:hint="eastAsia" w:ascii="仿宋" w:hAnsi="仿宋" w:eastAsia="仿宋"/>
          <w:sz w:val="30"/>
          <w:szCs w:val="30"/>
        </w:rPr>
        <w:t>本次采购确定的所有合格投标人的有效报价均价。</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2、因工作需要，委托对单户房屋进行房地产征收评估的，按上述方式计算服务费，评估服务费不低于2000元/宗。</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3、征收机关事业单位及国有企业公房（含内部租赁房屋），按上述方式计算服务费，但最高不超过30000元/宗、最低不少于2000元/宗。</w:t>
      </w:r>
    </w:p>
    <w:p>
      <w:pPr>
        <w:spacing w:line="56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4、单个项目房地产评估服务费总价超过30万元的，按不超过30万元计算服务费。</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七、服务期限</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本次采购项目</w:t>
      </w:r>
      <w:r>
        <w:rPr>
          <w:rFonts w:ascii="仿宋" w:hAnsi="仿宋" w:eastAsia="仿宋"/>
          <w:sz w:val="30"/>
          <w:szCs w:val="30"/>
        </w:rPr>
        <w:t>服务期限</w:t>
      </w:r>
      <w:r>
        <w:rPr>
          <w:rFonts w:hint="eastAsia" w:ascii="仿宋" w:hAnsi="仿宋" w:eastAsia="仿宋"/>
          <w:sz w:val="30"/>
          <w:szCs w:val="30"/>
        </w:rPr>
        <w:t>为发放入围通知书之日起至2022年12月31日</w:t>
      </w:r>
      <w:r>
        <w:rPr>
          <w:rFonts w:ascii="仿宋" w:hAnsi="仿宋" w:eastAsia="仿宋"/>
          <w:sz w:val="30"/>
          <w:szCs w:val="30"/>
        </w:rPr>
        <w:t>。</w:t>
      </w:r>
    </w:p>
    <w:p>
      <w:pPr>
        <w:numPr>
          <w:ilvl w:val="0"/>
          <w:numId w:val="1"/>
        </w:numPr>
        <w:spacing w:line="560" w:lineRule="exact"/>
        <w:ind w:firstLine="602" w:firstLineChars="200"/>
        <w:rPr>
          <w:rFonts w:hint="eastAsia" w:ascii="仿宋" w:hAnsi="仿宋" w:eastAsia="仿宋"/>
          <w:sz w:val="30"/>
          <w:szCs w:val="30"/>
          <w:lang w:val="en-US" w:eastAsia="zh-CN"/>
        </w:rPr>
      </w:pPr>
      <w:r>
        <w:rPr>
          <w:rFonts w:hint="eastAsia" w:ascii="仿宋" w:hAnsi="仿宋" w:eastAsia="仿宋"/>
          <w:b/>
          <w:bCs/>
          <w:sz w:val="30"/>
          <w:szCs w:val="30"/>
          <w:lang w:eastAsia="zh-CN"/>
        </w:rPr>
        <w:t>附则</w:t>
      </w:r>
      <w:r>
        <w:rPr>
          <w:rFonts w:hint="eastAsia" w:ascii="仿宋" w:hAnsi="仿宋" w:eastAsia="仿宋"/>
          <w:sz w:val="30"/>
          <w:szCs w:val="30"/>
          <w:lang w:val="en-US" w:eastAsia="zh-CN"/>
        </w:rPr>
        <w:t xml:space="preserve">  本次采购规定期限内，如上级文件另行规定的，从其规定执行。</w:t>
      </w:r>
    </w:p>
    <w:p>
      <w:pPr>
        <w:spacing w:line="500" w:lineRule="exact"/>
        <w:jc w:val="center"/>
        <w:rPr>
          <w:rFonts w:hint="eastAsia"/>
          <w:b/>
          <w:color w:val="auto"/>
          <w:sz w:val="36"/>
          <w:szCs w:val="36"/>
        </w:rPr>
      </w:pPr>
      <w:r>
        <w:rPr>
          <w:rFonts w:hint="eastAsia" w:ascii="宋体" w:hAnsi="宋体" w:cs="仿宋"/>
          <w:b/>
          <w:color w:val="auto"/>
          <w:sz w:val="36"/>
          <w:szCs w:val="36"/>
        </w:rPr>
        <w:t>国有土地上房屋</w:t>
      </w:r>
      <w:r>
        <w:rPr>
          <w:rFonts w:hint="eastAsia"/>
          <w:b/>
          <w:color w:val="auto"/>
          <w:sz w:val="36"/>
          <w:szCs w:val="36"/>
        </w:rPr>
        <w:t>评估委托合同</w:t>
      </w:r>
    </w:p>
    <w:p>
      <w:pPr>
        <w:spacing w:line="500" w:lineRule="exact"/>
        <w:rPr>
          <w:rFonts w:hint="eastAsia"/>
          <w:color w:val="auto"/>
          <w:sz w:val="21"/>
          <w:szCs w:val="21"/>
        </w:rPr>
      </w:pPr>
    </w:p>
    <w:p>
      <w:pPr>
        <w:spacing w:line="500" w:lineRule="exact"/>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甲方（委托方）：</w:t>
      </w:r>
      <w:r>
        <w:rPr>
          <w:rFonts w:hint="eastAsia" w:ascii="仿宋" w:hAnsi="仿宋" w:eastAsia="仿宋" w:cs="仿宋"/>
          <w:color w:val="auto"/>
          <w:sz w:val="32"/>
          <w:szCs w:val="32"/>
          <w:u w:val="single"/>
        </w:rPr>
        <w:t xml:space="preserve"> 太湖县土地房屋征收补偿安置中心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乙方（受托方）：</w:t>
      </w:r>
      <w:r>
        <w:rPr>
          <w:rFonts w:hint="eastAsia" w:ascii="仿宋" w:hAnsi="仿宋" w:eastAsia="仿宋" w:cs="仿宋"/>
          <w:color w:val="auto"/>
          <w:sz w:val="32"/>
          <w:szCs w:val="32"/>
          <w:u w:val="single"/>
        </w:rPr>
        <w:t xml:space="preserve">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甲乙双方根据《民法典》、《国有土地上房屋征收评估办法》、《太湖县网上中介超市建设运行实施方案》等有关规定，就甲方委托乙方进行房地产评估之事宜，经甲乙双方协商一致，达成如下协议。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第一条甲方委托乙方评估标的物的基本情况。</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1、项目名称：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2、项目位置：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3、评估范围：土地房屋价值的评估、剩余土地价值的评估、装潢及附属设施的评估等。</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第二条  甲方委托乙方评估目的及评估基准日。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1、评估目的：为甲方与被征收人确定被征收土地房屋及装潢附属设施价值的补偿提供依据。</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2、评估基准日：       年     月     日</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第三条  乙方应根据甲方的评估目的及需要，采用科学的方法对所评估的评估标的进行科学、客观、公正地评估，并根据甲方的要求在评估期限内，为甲方出具《房地产估价报告》（需附合法有效的评估机构营业执照、资质备案证书、评估人员资质证书复印件），并达到能够满足甲方的评估目的。</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第四条  委托评估费用及支付方式</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1、根据2021年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 日甲方招标结果，原则上委托评估费用按A:评估价值的（   ‰）计算；B:</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元包干。具体金额结合《太湖县土地房屋征收中介服务机构管理规定》（太征收【2019】19号）考核后确定。</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2、评估费用按项目结算支付。在乙方为甲方出具本合同约定项目范围内正式《房地产估价报告》，达到满足甲方的评估目的，且在甲方与被征收人核实无异议后1个月后，甲乙双方办理评估费用结算支付手续。</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 因甲方原因决定终止评估的，按下列方式支付委托评估服务费：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1 \* GB3 \* MERGEFORMAT </w:instrText>
      </w:r>
      <w:r>
        <w:rPr>
          <w:rFonts w:hint="eastAsia" w:ascii="仿宋" w:hAnsi="仿宋" w:eastAsia="仿宋" w:cs="仿宋"/>
          <w:color w:val="auto"/>
          <w:sz w:val="32"/>
          <w:szCs w:val="32"/>
        </w:rPr>
        <w:fldChar w:fldCharType="separate"/>
      </w:r>
      <w:r>
        <w:rPr>
          <w:color w:val="auto"/>
        </w:rPr>
        <w:t>①</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、乙方已经出具正式评估报告的，按评估总价*服务费率*80%结算服务费；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2 \* GB3 \* MERGEFORMAT </w:instrText>
      </w:r>
      <w:r>
        <w:rPr>
          <w:rFonts w:hint="eastAsia" w:ascii="仿宋" w:hAnsi="仿宋" w:eastAsia="仿宋" w:cs="仿宋"/>
          <w:color w:val="auto"/>
          <w:sz w:val="32"/>
          <w:szCs w:val="32"/>
        </w:rPr>
        <w:fldChar w:fldCharType="separate"/>
      </w:r>
      <w:r>
        <w:rPr>
          <w:color w:val="auto"/>
        </w:rPr>
        <w:t>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、乙方已经完成入户勘测、登记、预评估、答疑等全部前期工作，仅未出具正式评估报告的，按评估总价*服务费率*60%结算服务费；</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3 \* GB3 \* MERGEFORMAT </w:instrText>
      </w:r>
      <w:r>
        <w:rPr>
          <w:rFonts w:hint="eastAsia" w:ascii="仿宋" w:hAnsi="仿宋" w:eastAsia="仿宋" w:cs="仿宋"/>
          <w:color w:val="auto"/>
          <w:sz w:val="32"/>
          <w:szCs w:val="32"/>
        </w:rPr>
        <w:fldChar w:fldCharType="separate"/>
      </w:r>
      <w:r>
        <w:rPr>
          <w:color w:val="auto"/>
        </w:rPr>
        <w:t>③</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、乙方已进行入户勘测、登记等前期工作的，按1000元/户结算服务费。</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第五条 甲、乙双方的权利义务</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1、甲方向乙方提供的资料须准确、真实。</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2、乙方必须保证足够的技术力量，参与评估的估价师不得少于2名，必须在接到甲方入户通知之日起3日内安排估价人员入场开展现场勘查等工作，并对被征收人提出的疑问及时入户复核。</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1 \* GB3 \* MERGEFORMAT </w:instrText>
      </w:r>
      <w:r>
        <w:rPr>
          <w:rFonts w:hint="eastAsia" w:ascii="仿宋" w:hAnsi="仿宋" w:eastAsia="仿宋" w:cs="仿宋"/>
          <w:color w:val="auto"/>
          <w:sz w:val="32"/>
          <w:szCs w:val="32"/>
        </w:rPr>
        <w:fldChar w:fldCharType="separate"/>
      </w:r>
      <w:r>
        <w:rPr>
          <w:color w:val="auto"/>
        </w:rPr>
        <w:t>①</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项目需要县政府做出征收决定的，自征收决定之日起10日内出具预评估结果，预评估结果送达后7日内开展评估答疑活动，并在评估答疑后15日内出具正式房地产评估报告，被征收人对评估报告有异议的，及时做出解答或书面答复。</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2 \* GB3 \* MERGEFORMAT </w:instrText>
      </w:r>
      <w:r>
        <w:rPr>
          <w:rFonts w:hint="eastAsia" w:ascii="仿宋" w:hAnsi="仿宋" w:eastAsia="仿宋" w:cs="仿宋"/>
          <w:color w:val="auto"/>
          <w:sz w:val="32"/>
          <w:szCs w:val="32"/>
        </w:rPr>
        <w:fldChar w:fldCharType="separate"/>
      </w:r>
      <w:r>
        <w:rPr>
          <w:color w:val="auto"/>
        </w:rPr>
        <w:t>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直接征收或收购的土地房屋评估，在房屋测绘图纸提供后15日内出具预评估结果，预评估结果送达后3日内开展评估答疑，并在评估答疑后7日内出具《房地产估价报告》。</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3、乙方必须按照法定的估价规程和标准进行评估、拍照、存档等工作，确保所有数据及资料真实；评估工作结束后，所有评估资料原件、评估报告、以及相关资料电子版均应在规定时间内移交甲方。</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4、乙方对出具的报告的真实性、合法性和公正性负法律责任和经济责任，并对报告及甲方提供的资料负有保密责任。</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5、乙方所编制的报告和图件需申请专家委员会鉴定的，乙方负责鉴定，并承担评相应费用。</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第六条 若甲方对乙方提交的预评估结果等文件资料有异议，乙方应慎重考虑甲方的建议。若甲方对《房地产估价报告》有异议的，依法申请相关机构进行鉴定，若鉴定结果与乙方评估结果不一致的，鉴定相关费用由乙方承担，并认定为乙方评估存在质量问题。</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第七条 评估过程中，发现乙方弄虚作假的，按评估费率的80%计算服务费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第八条  乙方存在第六条、第七条规定的评估质量问题、弄虚作假情形的，甲方有权随时以书面方式通知解除本合同，且乙方应赔偿相应的经济损失。情节严重的，5年内不得在我县从事土地房屋征收补偿的评估业务。</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第九条 甲、乙双方因履行本合同发生纠纷，应协商解决；协商不成的，向甲方所在地人民法院起诉通过诉讼途径解决。</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第十条 本合同自甲、乙双方签字盖章，并在乙方向甲方交纳履约保证金后生效。</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第十一条 本合同一式四份，甲、乙双方各执两份。</w:t>
      </w:r>
    </w:p>
    <w:p>
      <w:pPr>
        <w:spacing w:line="500" w:lineRule="exact"/>
        <w:ind w:firstLine="640" w:firstLineChars="200"/>
        <w:rPr>
          <w:rFonts w:hint="eastAsia" w:ascii="仿宋" w:hAnsi="仿宋" w:eastAsia="仿宋" w:cs="仿宋"/>
          <w:color w:val="auto"/>
          <w:sz w:val="32"/>
          <w:szCs w:val="32"/>
        </w:rPr>
      </w:pP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甲方（盖章）：                      乙方（盖章）：</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                       法定代表人：</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或授权代表人：                     或授权代表人：</w:t>
      </w:r>
    </w:p>
    <w:p>
      <w:pPr>
        <w:spacing w:line="500" w:lineRule="exact"/>
        <w:ind w:firstLine="5760" w:firstLineChars="1800"/>
        <w:rPr>
          <w:rFonts w:hint="eastAsia" w:ascii="仿宋" w:hAnsi="仿宋" w:eastAsia="仿宋" w:cs="仿宋"/>
          <w:color w:val="auto"/>
          <w:sz w:val="32"/>
          <w:szCs w:val="32"/>
        </w:rPr>
      </w:pPr>
    </w:p>
    <w:p>
      <w:pPr>
        <w:spacing w:line="500" w:lineRule="exact"/>
        <w:ind w:firstLine="5760" w:firstLineChars="1800"/>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numPr>
          <w:ilvl w:val="0"/>
          <w:numId w:val="0"/>
        </w:numPr>
        <w:spacing w:line="560" w:lineRule="exact"/>
        <w:rPr>
          <w:rFonts w:hint="default" w:ascii="仿宋" w:hAnsi="仿宋" w:eastAsia="仿宋"/>
          <w:sz w:val="30"/>
          <w:szCs w:val="30"/>
          <w:lang w:val="en-US" w:eastAsia="zh-CN"/>
        </w:rPr>
      </w:pPr>
    </w:p>
    <w:sectPr>
      <w:pgSz w:w="11906" w:h="16838"/>
      <w:pgMar w:top="1701"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5578"/>
    <w:multiLevelType w:val="singleLevel"/>
    <w:tmpl w:val="DDFD557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76"/>
    <w:rsid w:val="00001CE3"/>
    <w:rsid w:val="00035B38"/>
    <w:rsid w:val="000372A6"/>
    <w:rsid w:val="0007282C"/>
    <w:rsid w:val="00091EB2"/>
    <w:rsid w:val="000B213C"/>
    <w:rsid w:val="000C1847"/>
    <w:rsid w:val="000C7956"/>
    <w:rsid w:val="00162679"/>
    <w:rsid w:val="00177094"/>
    <w:rsid w:val="001B6EFA"/>
    <w:rsid w:val="001F6D0E"/>
    <w:rsid w:val="0021701B"/>
    <w:rsid w:val="0022000A"/>
    <w:rsid w:val="002369DF"/>
    <w:rsid w:val="0025354C"/>
    <w:rsid w:val="002700DD"/>
    <w:rsid w:val="00286E1C"/>
    <w:rsid w:val="002C0232"/>
    <w:rsid w:val="002D3F5E"/>
    <w:rsid w:val="002E5389"/>
    <w:rsid w:val="003234C0"/>
    <w:rsid w:val="0035643A"/>
    <w:rsid w:val="0037207E"/>
    <w:rsid w:val="00372FA4"/>
    <w:rsid w:val="003845F6"/>
    <w:rsid w:val="003B41EF"/>
    <w:rsid w:val="003E4B30"/>
    <w:rsid w:val="003F627B"/>
    <w:rsid w:val="004038D0"/>
    <w:rsid w:val="004337C1"/>
    <w:rsid w:val="004545A8"/>
    <w:rsid w:val="0049624D"/>
    <w:rsid w:val="004B0F5E"/>
    <w:rsid w:val="004E752E"/>
    <w:rsid w:val="004E7DE7"/>
    <w:rsid w:val="00507360"/>
    <w:rsid w:val="00531ED9"/>
    <w:rsid w:val="00554B2E"/>
    <w:rsid w:val="00602546"/>
    <w:rsid w:val="006118EB"/>
    <w:rsid w:val="00611E7B"/>
    <w:rsid w:val="00645283"/>
    <w:rsid w:val="00647CA7"/>
    <w:rsid w:val="006B3B6C"/>
    <w:rsid w:val="006E6951"/>
    <w:rsid w:val="007075AD"/>
    <w:rsid w:val="0073200A"/>
    <w:rsid w:val="0075342C"/>
    <w:rsid w:val="00776511"/>
    <w:rsid w:val="007B22D4"/>
    <w:rsid w:val="007D79DB"/>
    <w:rsid w:val="007F05BD"/>
    <w:rsid w:val="008C31A2"/>
    <w:rsid w:val="008F7DF1"/>
    <w:rsid w:val="009573D5"/>
    <w:rsid w:val="00982B28"/>
    <w:rsid w:val="009906EE"/>
    <w:rsid w:val="009B07C5"/>
    <w:rsid w:val="009B7916"/>
    <w:rsid w:val="00A10C9E"/>
    <w:rsid w:val="00A4771C"/>
    <w:rsid w:val="00A8385D"/>
    <w:rsid w:val="00A846B2"/>
    <w:rsid w:val="00A91343"/>
    <w:rsid w:val="00A96A26"/>
    <w:rsid w:val="00AA0363"/>
    <w:rsid w:val="00B173F8"/>
    <w:rsid w:val="00B4594D"/>
    <w:rsid w:val="00B713C6"/>
    <w:rsid w:val="00BA010D"/>
    <w:rsid w:val="00C54CD1"/>
    <w:rsid w:val="00C668D6"/>
    <w:rsid w:val="00C933C9"/>
    <w:rsid w:val="00CA3ADC"/>
    <w:rsid w:val="00CC0273"/>
    <w:rsid w:val="00CF3389"/>
    <w:rsid w:val="00D1058F"/>
    <w:rsid w:val="00D40C76"/>
    <w:rsid w:val="00D641FD"/>
    <w:rsid w:val="00D6740C"/>
    <w:rsid w:val="00DE2CA2"/>
    <w:rsid w:val="00DF264B"/>
    <w:rsid w:val="00E77787"/>
    <w:rsid w:val="00EA7718"/>
    <w:rsid w:val="00EB60EB"/>
    <w:rsid w:val="00ED73B0"/>
    <w:rsid w:val="00EF428E"/>
    <w:rsid w:val="00F01D96"/>
    <w:rsid w:val="00F24626"/>
    <w:rsid w:val="00F9182C"/>
    <w:rsid w:val="00FE351E"/>
    <w:rsid w:val="00FF0F62"/>
    <w:rsid w:val="04483764"/>
    <w:rsid w:val="0E283C64"/>
    <w:rsid w:val="0E6E3536"/>
    <w:rsid w:val="148046AC"/>
    <w:rsid w:val="23226B2C"/>
    <w:rsid w:val="2C954C4C"/>
    <w:rsid w:val="42954B42"/>
    <w:rsid w:val="49A11692"/>
    <w:rsid w:val="4A8226BF"/>
    <w:rsid w:val="6FEF23DC"/>
    <w:rsid w:val="772B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146</Words>
  <Characters>836</Characters>
  <Lines>6</Lines>
  <Paragraphs>1</Paragraphs>
  <TotalTime>4</TotalTime>
  <ScaleCrop>false</ScaleCrop>
  <LinksUpToDate>false</LinksUpToDate>
  <CharactersWithSpaces>981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2021-06-07T08:02:00Z</dcterms:created>
  <dc:creator>Administrator</dc:creator>
  <cp:lastModifiedBy>Administrator</cp:lastModifiedBy>
  <cp:lastPrinted>2021-06-25T02:30:00Z</cp:lastPrinted>
  <dcterms:modified xsi:type="dcterms:W3CDTF">2021-06-30T03:17:26Z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F1E99D2234E24A109454A1CB4EEB830C</vt:lpwstr>
  </property>
</Properties>
</file>